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2C" w:rsidRPr="00E41A0E" w:rsidRDefault="00AB552C" w:rsidP="00AB552C">
      <w:pPr>
        <w:spacing w:line="360" w:lineRule="auto"/>
        <w:ind w:right="1134" w:hanging="142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sz w:val="24"/>
          <w:szCs w:val="24"/>
          <w:lang w:eastAsia="en-US"/>
        </w:rPr>
        <w:t>PROGRAMA DE PESQUISA E EXTENSÃO EM “ENGENHARIA, PRODUÇÃO E CONSTRUÇÃO”</w:t>
      </w:r>
    </w:p>
    <w:p w:rsidR="00AB552C" w:rsidRPr="00E41A0E" w:rsidRDefault="00AB552C" w:rsidP="00AB552C">
      <w:pPr>
        <w:spacing w:line="360" w:lineRule="auto"/>
        <w:ind w:right="1134" w:hanging="142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sz w:val="24"/>
          <w:szCs w:val="24"/>
          <w:lang w:eastAsia="en-US"/>
        </w:rPr>
        <w:t>PROGRAMA DE PESQUISA E EXTENSÃO EM “SUSTENTABILIDADE E AMBIENTALIZAÇÃO UNIFEBE”</w:t>
      </w:r>
    </w:p>
    <w:p w:rsidR="00AB552C" w:rsidRPr="00E41A0E" w:rsidRDefault="00AB552C" w:rsidP="00AB552C">
      <w:pPr>
        <w:spacing w:after="0" w:line="360" w:lineRule="auto"/>
        <w:ind w:right="1134" w:hanging="142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b/>
          <w:sz w:val="24"/>
          <w:szCs w:val="24"/>
          <w:lang w:eastAsia="en-US"/>
        </w:rPr>
        <w:t>ANÁLISE DA ÁGUA DO RIO ITAJAÍ MIRIM</w:t>
      </w:r>
    </w:p>
    <w:p w:rsidR="00AB552C" w:rsidRPr="00E41A0E" w:rsidRDefault="00AB552C" w:rsidP="00AB552C">
      <w:pPr>
        <w:spacing w:after="0" w:line="360" w:lineRule="auto"/>
        <w:ind w:right="1134" w:hanging="142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AB552C" w:rsidRPr="00E41A0E" w:rsidRDefault="00AB552C" w:rsidP="00AB552C">
      <w:pPr>
        <w:spacing w:after="0" w:line="360" w:lineRule="auto"/>
        <w:ind w:right="1134" w:hanging="142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b/>
          <w:sz w:val="24"/>
          <w:szCs w:val="24"/>
          <w:lang w:eastAsia="en-US"/>
        </w:rPr>
        <w:t>Coordenadores</w:t>
      </w:r>
    </w:p>
    <w:p w:rsidR="00AB552C" w:rsidRPr="00E41A0E" w:rsidRDefault="00AB552C" w:rsidP="00AB552C">
      <w:pPr>
        <w:spacing w:after="0" w:line="360" w:lineRule="auto"/>
        <w:ind w:right="1134" w:hanging="142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sz w:val="24"/>
          <w:szCs w:val="24"/>
          <w:lang w:eastAsia="en-US"/>
        </w:rPr>
        <w:t>Profª Dra. Rafaela Bohaczuk Venturelli Knop</w:t>
      </w:r>
    </w:p>
    <w:p w:rsidR="00AB552C" w:rsidRPr="00E41A0E" w:rsidRDefault="00AB552C" w:rsidP="00AB552C">
      <w:pPr>
        <w:spacing w:after="0" w:line="360" w:lineRule="auto"/>
        <w:ind w:right="1134" w:hanging="142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AB552C" w:rsidRPr="00E41A0E" w:rsidRDefault="00AB552C" w:rsidP="00AB552C">
      <w:pPr>
        <w:spacing w:after="0" w:line="360" w:lineRule="auto"/>
        <w:ind w:right="1134" w:hanging="142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b/>
          <w:sz w:val="24"/>
          <w:szCs w:val="24"/>
          <w:lang w:eastAsia="en-US"/>
        </w:rPr>
        <w:t>Técnico-administrativos responsáveis</w:t>
      </w:r>
    </w:p>
    <w:p w:rsidR="00AB552C" w:rsidRPr="00E41A0E" w:rsidRDefault="00AB552C" w:rsidP="00AB552C">
      <w:pPr>
        <w:spacing w:after="0" w:line="360" w:lineRule="auto"/>
        <w:ind w:right="1134" w:hanging="142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sz w:val="24"/>
          <w:szCs w:val="24"/>
          <w:lang w:eastAsia="en-US"/>
        </w:rPr>
        <w:t>Prof.ª Ma. Luana Franciele Fernandes Alves</w:t>
      </w:r>
    </w:p>
    <w:p w:rsidR="00AB552C" w:rsidRPr="00E41A0E" w:rsidRDefault="00AB552C" w:rsidP="00AB552C">
      <w:pPr>
        <w:spacing w:after="0" w:line="360" w:lineRule="auto"/>
        <w:ind w:right="1134" w:hanging="142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sz w:val="24"/>
          <w:szCs w:val="24"/>
          <w:lang w:eastAsia="en-US"/>
        </w:rPr>
        <w:t>Prof.ª Dra. Rafaela Bohaczuk Venturelli Knop</w:t>
      </w:r>
    </w:p>
    <w:p w:rsidR="00AB552C" w:rsidRPr="00E41A0E" w:rsidRDefault="00AB552C" w:rsidP="00AB552C">
      <w:pPr>
        <w:spacing w:after="0" w:line="360" w:lineRule="auto"/>
        <w:ind w:right="1134" w:hanging="142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AB552C" w:rsidRPr="00E41A0E" w:rsidRDefault="00AB552C" w:rsidP="00AB552C">
      <w:pPr>
        <w:spacing w:after="0" w:line="360" w:lineRule="auto"/>
        <w:ind w:right="1134" w:hanging="142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b/>
          <w:sz w:val="24"/>
          <w:szCs w:val="24"/>
          <w:lang w:eastAsia="en-US"/>
        </w:rPr>
        <w:t>Período</w:t>
      </w:r>
    </w:p>
    <w:p w:rsidR="00AB552C" w:rsidRPr="00E41A0E" w:rsidRDefault="00AB552C" w:rsidP="00AB552C">
      <w:pPr>
        <w:spacing w:line="360" w:lineRule="auto"/>
        <w:ind w:hanging="142"/>
        <w:rPr>
          <w:rFonts w:ascii="Arial" w:eastAsiaTheme="minorHAnsi" w:hAnsi="Arial" w:cs="Arial"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17 a 28 maio de 2021</w:t>
      </w:r>
    </w:p>
    <w:p w:rsidR="00AB552C" w:rsidRPr="00E41A0E" w:rsidRDefault="00AB552C" w:rsidP="00AB552C">
      <w:pPr>
        <w:spacing w:after="0" w:line="360" w:lineRule="auto"/>
        <w:ind w:right="1134" w:hanging="142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b/>
          <w:sz w:val="24"/>
          <w:szCs w:val="24"/>
          <w:lang w:eastAsia="en-US"/>
        </w:rPr>
        <w:t>Áreas temáticas</w:t>
      </w:r>
    </w:p>
    <w:p w:rsidR="00AB552C" w:rsidRPr="00E41A0E" w:rsidRDefault="00AB552C" w:rsidP="00AB552C">
      <w:pPr>
        <w:spacing w:after="0" w:line="360" w:lineRule="auto"/>
        <w:ind w:right="1134" w:hanging="142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sz w:val="24"/>
          <w:szCs w:val="24"/>
          <w:lang w:eastAsia="en-US"/>
        </w:rPr>
        <w:t>Meio ambiente</w:t>
      </w:r>
    </w:p>
    <w:p w:rsidR="00AB552C" w:rsidRPr="00E41A0E" w:rsidRDefault="00AB552C" w:rsidP="00AB552C">
      <w:pPr>
        <w:spacing w:after="0" w:line="360" w:lineRule="auto"/>
        <w:ind w:right="1134" w:hanging="142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AB552C" w:rsidRPr="00E41A0E" w:rsidRDefault="00AB552C" w:rsidP="00AB552C">
      <w:pPr>
        <w:spacing w:after="0" w:line="360" w:lineRule="auto"/>
        <w:ind w:right="1134" w:hanging="142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b/>
          <w:sz w:val="24"/>
          <w:szCs w:val="24"/>
          <w:lang w:eastAsia="en-US"/>
        </w:rPr>
        <w:t>Objetivo</w:t>
      </w:r>
    </w:p>
    <w:p w:rsidR="00AB552C" w:rsidRPr="00E41A0E" w:rsidRDefault="00AB552C" w:rsidP="00AB552C">
      <w:pPr>
        <w:spacing w:after="0" w:line="360" w:lineRule="auto"/>
        <w:ind w:right="1134" w:hanging="142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sz w:val="24"/>
          <w:szCs w:val="24"/>
          <w:lang w:eastAsia="en-US"/>
        </w:rPr>
        <w:t>Analise dos parâmetros químicos, físicos, físico-químicos e microbiológicos que influenciam a qualidade da água do rio Itajaí-Mirim e seus efeitos na saúde dos consumidores diretos e indiretos, em parceria com o SAMAE de Brusque</w:t>
      </w:r>
    </w:p>
    <w:p w:rsidR="00AB552C" w:rsidRPr="00E41A0E" w:rsidRDefault="00AB552C" w:rsidP="00AB552C">
      <w:pPr>
        <w:spacing w:after="0" w:line="360" w:lineRule="auto"/>
        <w:ind w:right="1134" w:hanging="142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AB552C" w:rsidRPr="00E41A0E" w:rsidRDefault="00AB552C" w:rsidP="00AB552C">
      <w:pPr>
        <w:spacing w:after="0" w:line="360" w:lineRule="auto"/>
        <w:ind w:right="1134" w:hanging="142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b/>
          <w:sz w:val="24"/>
          <w:szCs w:val="24"/>
          <w:lang w:eastAsia="en-US"/>
        </w:rPr>
        <w:t>Cursos, Disciplinas e Professores</w:t>
      </w:r>
    </w:p>
    <w:p w:rsidR="00AB552C" w:rsidRPr="00E41A0E" w:rsidRDefault="00AB552C" w:rsidP="00AB552C">
      <w:pPr>
        <w:widowControl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AB552C" w:rsidRPr="00E41A0E" w:rsidRDefault="00AB552C" w:rsidP="00AB552C">
      <w:pPr>
        <w:tabs>
          <w:tab w:val="left" w:pos="9356"/>
        </w:tabs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b/>
          <w:sz w:val="24"/>
          <w:szCs w:val="24"/>
          <w:lang w:eastAsia="en-US"/>
        </w:rPr>
        <w:t>Engenharia química</w:t>
      </w:r>
    </w:p>
    <w:p w:rsidR="00AB552C" w:rsidRPr="00E41A0E" w:rsidRDefault="00AB552C" w:rsidP="00AB552C">
      <w:pPr>
        <w:tabs>
          <w:tab w:val="left" w:pos="9356"/>
        </w:tabs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AB552C" w:rsidRPr="00E41A0E" w:rsidRDefault="00AB552C" w:rsidP="00AB552C">
      <w:pPr>
        <w:tabs>
          <w:tab w:val="left" w:pos="9356"/>
        </w:tabs>
        <w:spacing w:after="0" w:line="36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sz w:val="24"/>
          <w:szCs w:val="24"/>
          <w:lang w:eastAsia="en-US"/>
        </w:rPr>
        <w:t>Matemática - Prof.ª Ma. Junelene Costodio Pruner</w:t>
      </w:r>
    </w:p>
    <w:p w:rsidR="00AB552C" w:rsidRPr="00E41A0E" w:rsidRDefault="00AB552C" w:rsidP="00AB552C">
      <w:pPr>
        <w:tabs>
          <w:tab w:val="left" w:pos="9356"/>
        </w:tabs>
        <w:spacing w:after="0" w:line="36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sz w:val="24"/>
          <w:szCs w:val="24"/>
          <w:lang w:eastAsia="en-US"/>
        </w:rPr>
        <w:t>Química  - Prof. Me. Marcio Cardoso</w:t>
      </w:r>
    </w:p>
    <w:p w:rsidR="00AB552C" w:rsidRPr="00E41A0E" w:rsidRDefault="00AB552C" w:rsidP="00AB552C">
      <w:pPr>
        <w:tabs>
          <w:tab w:val="left" w:pos="9356"/>
        </w:tabs>
        <w:spacing w:after="0" w:line="36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sz w:val="24"/>
          <w:szCs w:val="24"/>
          <w:lang w:eastAsia="en-US"/>
        </w:rPr>
        <w:t>Física I - Prof.ª Ma. Vivian Siffert Wildner</w:t>
      </w:r>
    </w:p>
    <w:p w:rsidR="00AB552C" w:rsidRPr="00E41A0E" w:rsidRDefault="00AB552C" w:rsidP="00AB552C">
      <w:pPr>
        <w:tabs>
          <w:tab w:val="left" w:pos="9356"/>
        </w:tabs>
        <w:spacing w:after="0" w:line="36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41A0E">
        <w:rPr>
          <w:rFonts w:ascii="Arial" w:eastAsiaTheme="minorHAnsi" w:hAnsi="Arial" w:cs="Arial"/>
          <w:sz w:val="24"/>
          <w:szCs w:val="24"/>
          <w:lang w:eastAsia="en-US"/>
        </w:rPr>
        <w:t>Ciência e Engenharia de Materiais - Prof. Esp. Rafael Lopes de Lima</w:t>
      </w:r>
    </w:p>
    <w:p w:rsidR="0064050B" w:rsidRPr="00203F01" w:rsidRDefault="00AB552C" w:rsidP="00203F01">
      <w:pPr>
        <w:tabs>
          <w:tab w:val="left" w:pos="9356"/>
        </w:tabs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41A0E">
        <w:rPr>
          <w:rFonts w:ascii="Arial" w:eastAsiaTheme="minorHAnsi" w:hAnsi="Arial" w:cs="Arial"/>
          <w:sz w:val="24"/>
          <w:szCs w:val="24"/>
          <w:lang w:eastAsia="en-US"/>
        </w:rPr>
        <w:t>Geometria Descritiva - Prof.ª Ma. Vivian Siffert Wildner</w:t>
      </w:r>
    </w:p>
    <w:p w:rsidR="0064050B" w:rsidRPr="00E41A0E" w:rsidRDefault="00E90ECA" w:rsidP="00AB552C">
      <w:p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  <w:r w:rsidRPr="00E41A0E">
        <w:rPr>
          <w:rFonts w:ascii="Arial" w:eastAsia="Times New Roman" w:hAnsi="Arial" w:cs="Arial"/>
          <w:b/>
          <w:sz w:val="24"/>
          <w:szCs w:val="24"/>
        </w:rPr>
        <w:lastRenderedPageBreak/>
        <w:t>ANÁLISE DA ÁGUA DO RIO ITAJAÍ MIRIM: UM RELATO DE EXPERIÊNCIA</w:t>
      </w:r>
    </w:p>
    <w:p w:rsidR="0064050B" w:rsidRPr="00E41A0E" w:rsidRDefault="0064050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Junelene Costodio Pruner; Marcio Cardoso; Vivian Siffert Wildner; Rafael Lopes de Lima; Vivian Siffert Wildner</w:t>
      </w:r>
    </w:p>
    <w:p w:rsidR="0064050B" w:rsidRPr="00E41A0E" w:rsidRDefault="0064050B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64050B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64050B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 w:rsidP="00362FC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41A0E">
        <w:rPr>
          <w:rFonts w:ascii="Arial" w:eastAsia="Times New Roman" w:hAnsi="Arial" w:cs="Arial"/>
          <w:b/>
          <w:sz w:val="24"/>
          <w:szCs w:val="24"/>
        </w:rPr>
        <w:t xml:space="preserve">RESUMO: </w:t>
      </w:r>
      <w:r w:rsidRPr="00E41A0E">
        <w:rPr>
          <w:rFonts w:ascii="Arial" w:eastAsia="Times New Roman" w:hAnsi="Arial" w:cs="Arial"/>
          <w:sz w:val="24"/>
          <w:szCs w:val="24"/>
        </w:rPr>
        <w:t>No primeiro semestre de 2021, o curso de Engenharia Química desenvolveu o projeto “</w:t>
      </w:r>
      <w:r w:rsidR="00362FCD" w:rsidRPr="00E41A0E">
        <w:rPr>
          <w:rFonts w:ascii="Arial" w:eastAsia="Times New Roman" w:hAnsi="Arial" w:cs="Arial"/>
          <w:sz w:val="24"/>
          <w:szCs w:val="24"/>
        </w:rPr>
        <w:t>a</w:t>
      </w:r>
      <w:r w:rsidRPr="00E41A0E">
        <w:rPr>
          <w:rFonts w:ascii="Arial" w:eastAsia="Times New Roman" w:hAnsi="Arial" w:cs="Arial"/>
          <w:sz w:val="24"/>
          <w:szCs w:val="24"/>
        </w:rPr>
        <w:t>nálise da água do rio Itajaí Mirim”, como atividade da</w:t>
      </w:r>
      <w:r w:rsidR="00362FCD" w:rsidRPr="00E41A0E">
        <w:rPr>
          <w:rFonts w:ascii="Arial" w:eastAsia="Times New Roman" w:hAnsi="Arial" w:cs="Arial"/>
          <w:sz w:val="24"/>
          <w:szCs w:val="24"/>
        </w:rPr>
        <w:t xml:space="preserve"> curricularização da extensão. </w:t>
      </w:r>
      <w:r w:rsidRPr="00E41A0E">
        <w:rPr>
          <w:rFonts w:ascii="Arial" w:eastAsia="Times New Roman" w:hAnsi="Arial" w:cs="Arial"/>
          <w:sz w:val="24"/>
          <w:szCs w:val="24"/>
        </w:rPr>
        <w:t>Constituído por meio da Resolução nº 7, de 18 de dezembro de 2018, do Ministério da Educação, Conselho Nacional de Educação e Câmara de Educação Superior, o documento estabelece as Diretrizes para a Extensão na Educação Superior Brasileira e regimenta o disposto na Meta 12.7 da Lei nº 13.005/2014, que aprova o Plano Nacional de Educação – P</w:t>
      </w:r>
      <w:r w:rsidR="00362FCD" w:rsidRPr="00E41A0E">
        <w:rPr>
          <w:rFonts w:ascii="Arial" w:eastAsia="Times New Roman" w:hAnsi="Arial" w:cs="Arial"/>
          <w:sz w:val="24"/>
          <w:szCs w:val="24"/>
        </w:rPr>
        <w:t>NE 2014- 2024. De acordo com ess</w:t>
      </w:r>
      <w:r w:rsidRPr="00E41A0E">
        <w:rPr>
          <w:rFonts w:ascii="Arial" w:eastAsia="Times New Roman" w:hAnsi="Arial" w:cs="Arial"/>
          <w:sz w:val="24"/>
          <w:szCs w:val="24"/>
        </w:rPr>
        <w:t>e documento, a Extensão deve se integrar à matriz curricular dos cursos e promover a interação entre as instituições de ensino e a sociedade, por meio da troca de conhecimentos, cultura e diálogo. Como resultado, foram analisados parâmetros químicos, físicos, físico-químicos e microbiológicos que influenciam a qualidade da água do rio Itajaí-Mirim e seus efeitos na saúde dos consumidores diretos e indiretos, em parceria com o SAMAE de Brusque. Diante do exposto, o objetivo des</w:t>
      </w:r>
      <w:r w:rsidR="00362FCD" w:rsidRPr="00E41A0E">
        <w:rPr>
          <w:rFonts w:ascii="Arial" w:eastAsia="Times New Roman" w:hAnsi="Arial" w:cs="Arial"/>
          <w:sz w:val="24"/>
          <w:szCs w:val="24"/>
        </w:rPr>
        <w:t>s</w:t>
      </w:r>
      <w:r w:rsidRPr="00E41A0E">
        <w:rPr>
          <w:rFonts w:ascii="Arial" w:eastAsia="Times New Roman" w:hAnsi="Arial" w:cs="Arial"/>
          <w:sz w:val="24"/>
          <w:szCs w:val="24"/>
        </w:rPr>
        <w:t>e relato de experiência</w:t>
      </w:r>
      <w:r w:rsidR="00362FCD" w:rsidRPr="00E41A0E">
        <w:rPr>
          <w:rFonts w:ascii="Arial" w:eastAsia="Times New Roman" w:hAnsi="Arial" w:cs="Arial"/>
          <w:sz w:val="24"/>
          <w:szCs w:val="24"/>
        </w:rPr>
        <w:t>, foi</w:t>
      </w:r>
      <w:r w:rsidRPr="00E41A0E">
        <w:rPr>
          <w:rFonts w:ascii="Arial" w:eastAsia="Times New Roman" w:hAnsi="Arial" w:cs="Arial"/>
          <w:sz w:val="24"/>
          <w:szCs w:val="24"/>
        </w:rPr>
        <w:t xml:space="preserve"> descrever as atividades de curricularização da extensão do curso de Engenharia </w:t>
      </w:r>
      <w:r w:rsidR="00362FCD" w:rsidRPr="00E41A0E">
        <w:rPr>
          <w:rFonts w:ascii="Arial" w:eastAsia="Times New Roman" w:hAnsi="Arial" w:cs="Arial"/>
          <w:sz w:val="24"/>
          <w:szCs w:val="24"/>
        </w:rPr>
        <w:t>Química</w:t>
      </w:r>
      <w:r w:rsidRPr="00E41A0E">
        <w:rPr>
          <w:rFonts w:ascii="Arial" w:eastAsia="Times New Roman" w:hAnsi="Arial" w:cs="Arial"/>
          <w:sz w:val="24"/>
          <w:szCs w:val="24"/>
        </w:rPr>
        <w:t xml:space="preserve"> do Centro Universitário de Brusque</w:t>
      </w:r>
      <w:r w:rsidR="00362FCD" w:rsidRPr="00E41A0E">
        <w:rPr>
          <w:rFonts w:ascii="Arial" w:eastAsia="Times New Roman" w:hAnsi="Arial" w:cs="Arial"/>
          <w:sz w:val="24"/>
          <w:szCs w:val="24"/>
        </w:rPr>
        <w:t>,</w:t>
      </w:r>
      <w:r w:rsidRPr="00E41A0E">
        <w:rPr>
          <w:rFonts w:ascii="Arial" w:eastAsia="Times New Roman" w:hAnsi="Arial" w:cs="Arial"/>
          <w:sz w:val="24"/>
          <w:szCs w:val="24"/>
        </w:rPr>
        <w:t xml:space="preserve"> no primeiro semestre de 2021.</w:t>
      </w:r>
    </w:p>
    <w:p w:rsidR="0064050B" w:rsidRPr="00E41A0E" w:rsidRDefault="0064050B" w:rsidP="00362FC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 w:rsidP="00362FC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b/>
          <w:sz w:val="24"/>
          <w:szCs w:val="24"/>
        </w:rPr>
        <w:t xml:space="preserve">Palavras-chave: </w:t>
      </w:r>
      <w:r w:rsidR="00362FCD" w:rsidRPr="00E41A0E">
        <w:rPr>
          <w:rFonts w:ascii="Arial" w:eastAsia="Times New Roman" w:hAnsi="Arial" w:cs="Arial"/>
          <w:sz w:val="24"/>
          <w:szCs w:val="24"/>
        </w:rPr>
        <w:t>e</w:t>
      </w:r>
      <w:r w:rsidRPr="00E41A0E">
        <w:rPr>
          <w:rFonts w:ascii="Arial" w:eastAsia="Times New Roman" w:hAnsi="Arial" w:cs="Arial"/>
          <w:sz w:val="24"/>
          <w:szCs w:val="24"/>
        </w:rPr>
        <w:t xml:space="preserve">ngenharia </w:t>
      </w:r>
      <w:r w:rsidR="00362FCD" w:rsidRPr="00E41A0E">
        <w:rPr>
          <w:rFonts w:ascii="Arial" w:eastAsia="Times New Roman" w:hAnsi="Arial" w:cs="Arial"/>
          <w:sz w:val="24"/>
          <w:szCs w:val="24"/>
        </w:rPr>
        <w:t>química</w:t>
      </w:r>
      <w:r w:rsidRPr="00E41A0E">
        <w:rPr>
          <w:rFonts w:ascii="Arial" w:eastAsia="Times New Roman" w:hAnsi="Arial" w:cs="Arial"/>
          <w:sz w:val="24"/>
          <w:szCs w:val="24"/>
        </w:rPr>
        <w:t xml:space="preserve">; </w:t>
      </w:r>
      <w:r w:rsidR="00362FCD" w:rsidRPr="00E41A0E">
        <w:rPr>
          <w:rFonts w:ascii="Arial" w:eastAsia="Times New Roman" w:hAnsi="Arial" w:cs="Arial"/>
          <w:sz w:val="24"/>
          <w:szCs w:val="24"/>
        </w:rPr>
        <w:t>c</w:t>
      </w:r>
      <w:r w:rsidRPr="00E41A0E">
        <w:rPr>
          <w:rFonts w:ascii="Arial" w:eastAsia="Times New Roman" w:hAnsi="Arial" w:cs="Arial"/>
          <w:sz w:val="24"/>
          <w:szCs w:val="24"/>
        </w:rPr>
        <w:t xml:space="preserve">urricularização da extensão; </w:t>
      </w:r>
      <w:r w:rsidR="00362FCD" w:rsidRPr="00E41A0E">
        <w:rPr>
          <w:rFonts w:ascii="Arial" w:eastAsia="Times New Roman" w:hAnsi="Arial" w:cs="Arial"/>
          <w:sz w:val="24"/>
          <w:szCs w:val="24"/>
        </w:rPr>
        <w:t>s</w:t>
      </w:r>
      <w:r w:rsidRPr="00E41A0E">
        <w:rPr>
          <w:rFonts w:ascii="Arial" w:eastAsia="Times New Roman" w:hAnsi="Arial" w:cs="Arial"/>
          <w:sz w:val="24"/>
          <w:szCs w:val="24"/>
        </w:rPr>
        <w:t>ustentabilidade.</w:t>
      </w:r>
    </w:p>
    <w:p w:rsidR="0064050B" w:rsidRPr="00E41A0E" w:rsidRDefault="0064050B" w:rsidP="00362FCD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 w:rsidP="0060058D">
      <w:pPr>
        <w:pStyle w:val="Ttulo1"/>
        <w:rPr>
          <w:rFonts w:eastAsia="Times New Roman" w:cs="Arial"/>
          <w:szCs w:val="24"/>
        </w:rPr>
      </w:pPr>
      <w:r w:rsidRPr="00E41A0E">
        <w:rPr>
          <w:rFonts w:eastAsia="Times New Roman" w:cs="Arial"/>
          <w:szCs w:val="24"/>
        </w:rPr>
        <w:t>1 INTRODUÇÃO</w:t>
      </w:r>
    </w:p>
    <w:p w:rsidR="0060058D" w:rsidRPr="00E41A0E" w:rsidRDefault="0060058D" w:rsidP="0060058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4050B" w:rsidRPr="00E41A0E" w:rsidRDefault="00E90ECA" w:rsidP="00600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A Extensão na Educação Superior Brasileira é a atividade que se integra à matriz curricular e à organização da pesquisa, constituindo-se em processo interdisciplinar, político educacional, cultural, científico, tecnológico, que promove a interação transformadora entre as instituições de ensino superior e os outros setores da sociedade, por meio da produção e da aplicação do conhecimento, em articulação permanente com o ensino e a pesquisa.</w:t>
      </w:r>
    </w:p>
    <w:p w:rsidR="00203F01" w:rsidRDefault="00E90ECA" w:rsidP="00600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A atividade desenvolvida pelo curso de Engenharia Química faz parte da Curricularização da Extensão</w:t>
      </w:r>
      <w:r w:rsidR="00BF29EB" w:rsidRPr="00E41A0E">
        <w:rPr>
          <w:rFonts w:ascii="Arial" w:eastAsia="Times New Roman" w:hAnsi="Arial" w:cs="Arial"/>
          <w:sz w:val="24"/>
          <w:szCs w:val="24"/>
        </w:rPr>
        <w:t>, que foi constituída</w:t>
      </w:r>
      <w:r w:rsidRPr="00E41A0E">
        <w:rPr>
          <w:rFonts w:ascii="Arial" w:eastAsia="Times New Roman" w:hAnsi="Arial" w:cs="Arial"/>
          <w:sz w:val="24"/>
          <w:szCs w:val="24"/>
        </w:rPr>
        <w:t xml:space="preserve"> por meio da Resolução nº 7, de 18 de dezembro de 2018, do Ministério da Educação, Conselho Nacional de Educação e Câmara de Educação Superior, o</w:t>
      </w:r>
      <w:r w:rsidR="00BF29EB" w:rsidRPr="00E41A0E">
        <w:rPr>
          <w:rFonts w:ascii="Arial" w:eastAsia="Times New Roman" w:hAnsi="Arial" w:cs="Arial"/>
          <w:sz w:val="24"/>
          <w:szCs w:val="24"/>
        </w:rPr>
        <w:t>nde o</w:t>
      </w:r>
      <w:r w:rsidRPr="00E41A0E">
        <w:rPr>
          <w:rFonts w:ascii="Arial" w:eastAsia="Times New Roman" w:hAnsi="Arial" w:cs="Arial"/>
          <w:sz w:val="24"/>
          <w:szCs w:val="24"/>
        </w:rPr>
        <w:t xml:space="preserve"> documento estabelece as Diretrizes para a Extensão na Educação Superior Brasileira e regimenta o disposto na Meta 12.7 da Lei nº 13.005/2014, que aprova o Plano Nacional de </w:t>
      </w:r>
    </w:p>
    <w:p w:rsidR="00203F01" w:rsidRPr="00E90ECA" w:rsidRDefault="00203F01" w:rsidP="00203F01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               </w:t>
      </w:r>
      <w:r w:rsidRPr="00E90ECA">
        <w:rPr>
          <w:rFonts w:ascii="Arial" w:eastAsia="Times New Roman" w:hAnsi="Arial" w:cs="Arial"/>
          <w:sz w:val="20"/>
          <w:szCs w:val="20"/>
        </w:rPr>
        <w:t>Análise Da Água Do Rio Itajaí Mirim: Um Relato De Experiência</w:t>
      </w:r>
    </w:p>
    <w:p w:rsidR="0064050B" w:rsidRPr="00E41A0E" w:rsidRDefault="00E90ECA" w:rsidP="00203F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Educação – P</w:t>
      </w:r>
      <w:r w:rsidR="00BF29EB" w:rsidRPr="00E41A0E">
        <w:rPr>
          <w:rFonts w:ascii="Arial" w:eastAsia="Times New Roman" w:hAnsi="Arial" w:cs="Arial"/>
          <w:sz w:val="24"/>
          <w:szCs w:val="24"/>
        </w:rPr>
        <w:t>NE 2014- 2024 (BRASIL, 2018). De acordo com ess</w:t>
      </w:r>
      <w:r w:rsidRPr="00E41A0E">
        <w:rPr>
          <w:rFonts w:ascii="Arial" w:eastAsia="Times New Roman" w:hAnsi="Arial" w:cs="Arial"/>
          <w:sz w:val="24"/>
          <w:szCs w:val="24"/>
        </w:rPr>
        <w:t xml:space="preserve">e documento, a Extensão deve se integrar à matriz curricular dos cursos e promover a interação entre as instituições de ensino e a sociedade, por meio da troca de conhecimentos, cultura e diálogo. </w:t>
      </w:r>
    </w:p>
    <w:p w:rsidR="0064050B" w:rsidRPr="00E41A0E" w:rsidRDefault="00BF29EB" w:rsidP="00600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Ness</w:t>
      </w:r>
      <w:r w:rsidR="00E90ECA" w:rsidRPr="00E41A0E">
        <w:rPr>
          <w:rFonts w:ascii="Arial" w:eastAsia="Times New Roman" w:hAnsi="Arial" w:cs="Arial"/>
          <w:sz w:val="24"/>
          <w:szCs w:val="24"/>
        </w:rPr>
        <w:t>e sentido, o curso de Engenharia Química desenvolve o projeto “Análise da água do rio Itajaí Mirim”, resultando na análise dos parâmetros químicos, físicos, físico-químicos e microbiológicos que influenciam a qualidade da água do rio Itajaí-Mirim e seus efeitos na saúde dos consumidores diretos e indiretos, em parceria com o SAMAE de Brusque.</w:t>
      </w:r>
    </w:p>
    <w:p w:rsidR="0064050B" w:rsidRPr="00E41A0E" w:rsidRDefault="00E90ECA" w:rsidP="00600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Sabe-se que a legislação brasileira possui distinções e especificações particulares a cada corpo da água, dessa forma quando se faz uma análise a fim de dar um parecer e informar a qualidade do que se consome (direta ou indiretamente) é importante investigar para quais fins a água será destinada. No caso das análises realizadas no rio Itajaí Mirim na cida</w:t>
      </w:r>
      <w:r w:rsidR="00BF29EB" w:rsidRPr="00E41A0E">
        <w:rPr>
          <w:rFonts w:ascii="Arial" w:eastAsia="Times New Roman" w:hAnsi="Arial" w:cs="Arial"/>
          <w:sz w:val="24"/>
          <w:szCs w:val="24"/>
        </w:rPr>
        <w:t xml:space="preserve">de de Brusque/SC, a água bruta </w:t>
      </w:r>
      <w:r w:rsidR="00ED547A" w:rsidRPr="00E41A0E">
        <w:rPr>
          <w:rFonts w:ascii="Arial" w:eastAsia="Times New Roman" w:hAnsi="Arial" w:cs="Arial"/>
          <w:sz w:val="24"/>
          <w:szCs w:val="24"/>
        </w:rPr>
        <w:t>é</w:t>
      </w:r>
      <w:r w:rsidRPr="00E41A0E">
        <w:rPr>
          <w:rFonts w:ascii="Arial" w:eastAsia="Times New Roman" w:hAnsi="Arial" w:cs="Arial"/>
          <w:sz w:val="24"/>
          <w:szCs w:val="24"/>
        </w:rPr>
        <w:t xml:space="preserve"> utilizada para irrigação de plantações dos moradores vizinhos ao seu entorno e como fonte de hidratação para o gado e outros animais que são criados nas pastagens laterais ao seu curso. Os peixes também são consumidos por alguns moradores que pescam nas suas margens. </w:t>
      </w:r>
    </w:p>
    <w:p w:rsidR="0064050B" w:rsidRPr="00E41A0E" w:rsidRDefault="00E90ECA" w:rsidP="00600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Obviamente, as águas são consumidas pela empresa de tratamento de água da cidade, que após tratamento e desinfecção</w:t>
      </w:r>
      <w:r w:rsidR="00FD5307" w:rsidRPr="00E41A0E">
        <w:rPr>
          <w:rFonts w:ascii="Arial" w:eastAsia="Times New Roman" w:hAnsi="Arial" w:cs="Arial"/>
          <w:sz w:val="24"/>
          <w:szCs w:val="24"/>
        </w:rPr>
        <w:t>,</w:t>
      </w:r>
      <w:r w:rsidRPr="00E41A0E">
        <w:rPr>
          <w:rFonts w:ascii="Arial" w:eastAsia="Times New Roman" w:hAnsi="Arial" w:cs="Arial"/>
          <w:sz w:val="24"/>
          <w:szCs w:val="24"/>
        </w:rPr>
        <w:t xml:space="preserve"> distribui à população da cidade e empresas de diversos setores que fazem a captação e tratamento de acordo com a sua necessidade industrial. Para cada corpo da água, parâmetros químicos, físicos e fisico-químicos são exigidos como forma de manter e controlar a qualidade do que é consumido. </w:t>
      </w:r>
    </w:p>
    <w:p w:rsidR="0064050B" w:rsidRPr="00E41A0E" w:rsidRDefault="00E90ECA" w:rsidP="0060058D">
      <w:pPr>
        <w:widowControl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A escolha partiu do pressuposto que os compostos podem ser nocivos à saúde humana</w:t>
      </w:r>
      <w:r w:rsidR="00FD5307" w:rsidRPr="00E41A0E">
        <w:rPr>
          <w:rFonts w:ascii="Arial" w:eastAsia="Times New Roman" w:hAnsi="Arial" w:cs="Arial"/>
          <w:sz w:val="24"/>
          <w:szCs w:val="24"/>
        </w:rPr>
        <w:t>,</w:t>
      </w:r>
      <w:r w:rsidRPr="00E41A0E">
        <w:rPr>
          <w:rFonts w:ascii="Arial" w:eastAsia="Times New Roman" w:hAnsi="Arial" w:cs="Arial"/>
          <w:sz w:val="24"/>
          <w:szCs w:val="24"/>
        </w:rPr>
        <w:t xml:space="preserve"> quando consumidos mesmo que de forma indireta, além de serem indicativos de impactos ambientais devido ao crescimento desordenado da cidade e da região. Entende-se por consumo indireto aquele que está ligado ao ciclo vivo do que se consome</w:t>
      </w:r>
      <w:r w:rsidR="00FD5307" w:rsidRPr="00E41A0E">
        <w:rPr>
          <w:rFonts w:ascii="Arial" w:eastAsia="Times New Roman" w:hAnsi="Arial" w:cs="Arial"/>
          <w:sz w:val="24"/>
          <w:szCs w:val="24"/>
        </w:rPr>
        <w:t>,</w:t>
      </w:r>
      <w:r w:rsidRPr="00E41A0E">
        <w:rPr>
          <w:rFonts w:ascii="Arial" w:eastAsia="Times New Roman" w:hAnsi="Arial" w:cs="Arial"/>
          <w:sz w:val="24"/>
          <w:szCs w:val="24"/>
        </w:rPr>
        <w:t xml:space="preserve"> como é o caso das plantas irrigadas que absorvem determinados nutrientes da água, aos peixes e outros animais que acumulam determinados metais em sua carne.</w:t>
      </w:r>
    </w:p>
    <w:p w:rsidR="00203F01" w:rsidRDefault="00203F01" w:rsidP="00203F01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:rsidR="00203F01" w:rsidRPr="00E90ECA" w:rsidRDefault="00203F01" w:rsidP="00203F01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</w:t>
      </w:r>
      <w:r w:rsidRPr="00E90ECA">
        <w:rPr>
          <w:rFonts w:ascii="Arial" w:eastAsia="Times New Roman" w:hAnsi="Arial" w:cs="Arial"/>
          <w:sz w:val="20"/>
          <w:szCs w:val="20"/>
        </w:rPr>
        <w:t>Análise Da Água Do Rio Itajaí Mirim: Um Relato De Experiência</w:t>
      </w:r>
    </w:p>
    <w:p w:rsidR="0064050B" w:rsidRPr="00E41A0E" w:rsidRDefault="00E90ECA" w:rsidP="00600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Além disso, é necessário entender que os parâmetros elencados têm ligação com as principais atividades econômicas da região, o que poderia indicar a contaminação das águas do rio por efluentes industriais. Nesse sentido</w:t>
      </w:r>
      <w:r w:rsidR="00ED547A" w:rsidRPr="00E41A0E">
        <w:rPr>
          <w:rFonts w:ascii="Arial" w:eastAsia="Times New Roman" w:hAnsi="Arial" w:cs="Arial"/>
          <w:sz w:val="24"/>
          <w:szCs w:val="24"/>
        </w:rPr>
        <w:t>,</w:t>
      </w:r>
      <w:r w:rsidRPr="00E41A0E">
        <w:rPr>
          <w:rFonts w:ascii="Arial" w:eastAsia="Times New Roman" w:hAnsi="Arial" w:cs="Arial"/>
          <w:sz w:val="24"/>
          <w:szCs w:val="24"/>
        </w:rPr>
        <w:t xml:space="preserve"> ao verificar-se o relatório Santa Catarina em Números do Serviço de Apoio às Micro e Pequenas Empresas de Santa Catarina (SEBRAESC), é possível ver de forma representativa os setores da indústria têxtil (tecelagem, fabricação de tecidos e artefatos têxteis) e metalmecânico (fabricação de peças para veículos automotores e atividades referentes). </w:t>
      </w:r>
    </w:p>
    <w:p w:rsidR="0064050B" w:rsidRPr="00E41A0E" w:rsidRDefault="00ED547A" w:rsidP="00600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Assim, o objetivo do projeto foi</w:t>
      </w:r>
      <w:r w:rsidR="00E90ECA" w:rsidRPr="00E41A0E">
        <w:rPr>
          <w:rFonts w:ascii="Arial" w:eastAsia="Times New Roman" w:hAnsi="Arial" w:cs="Arial"/>
          <w:sz w:val="24"/>
          <w:szCs w:val="24"/>
        </w:rPr>
        <w:t xml:space="preserve"> monitorar parâmetros químicos, físicos e físico-químicos das águas do Rio Itajaí Mirim, bem como, estudar os possíveis efeitos na saúde da população pelo consumo direto e indireto des</w:t>
      </w:r>
      <w:r w:rsidR="00FC5CB8" w:rsidRPr="00E41A0E">
        <w:rPr>
          <w:rFonts w:ascii="Arial" w:eastAsia="Times New Roman" w:hAnsi="Arial" w:cs="Arial"/>
          <w:sz w:val="24"/>
          <w:szCs w:val="24"/>
        </w:rPr>
        <w:t>s</w:t>
      </w:r>
      <w:r w:rsidR="00E90ECA" w:rsidRPr="00E41A0E">
        <w:rPr>
          <w:rFonts w:ascii="Arial" w:eastAsia="Times New Roman" w:hAnsi="Arial" w:cs="Arial"/>
          <w:sz w:val="24"/>
          <w:szCs w:val="24"/>
        </w:rPr>
        <w:t>as</w:t>
      </w:r>
      <w:r w:rsidR="00FC5CB8" w:rsidRPr="00E41A0E">
        <w:rPr>
          <w:rFonts w:ascii="Arial" w:eastAsia="Times New Roman" w:hAnsi="Arial" w:cs="Arial"/>
          <w:sz w:val="24"/>
          <w:szCs w:val="24"/>
        </w:rPr>
        <w:t xml:space="preserve"> águas. Ess</w:t>
      </w:r>
      <w:r w:rsidR="00E90ECA" w:rsidRPr="00E41A0E">
        <w:rPr>
          <w:rFonts w:ascii="Arial" w:eastAsia="Times New Roman" w:hAnsi="Arial" w:cs="Arial"/>
          <w:sz w:val="24"/>
          <w:szCs w:val="24"/>
        </w:rPr>
        <w:t xml:space="preserve">e objetivo vem de encontro com o Objetivo 6 dos ODS - </w:t>
      </w:r>
      <w:r w:rsidR="00FC5CB8" w:rsidRPr="00E41A0E">
        <w:rPr>
          <w:rFonts w:ascii="Arial" w:eastAsia="Times New Roman" w:hAnsi="Arial" w:cs="Arial"/>
          <w:sz w:val="24"/>
          <w:szCs w:val="24"/>
        </w:rPr>
        <w:t>á</w:t>
      </w:r>
      <w:r w:rsidR="00E90ECA" w:rsidRPr="00E41A0E">
        <w:rPr>
          <w:rFonts w:ascii="Arial" w:eastAsia="Times New Roman" w:hAnsi="Arial" w:cs="Arial"/>
          <w:sz w:val="24"/>
          <w:szCs w:val="24"/>
        </w:rPr>
        <w:t xml:space="preserve">gua </w:t>
      </w:r>
      <w:r w:rsidR="00FC5CB8" w:rsidRPr="00E41A0E">
        <w:rPr>
          <w:rFonts w:ascii="Arial" w:eastAsia="Times New Roman" w:hAnsi="Arial" w:cs="Arial"/>
          <w:sz w:val="24"/>
          <w:szCs w:val="24"/>
        </w:rPr>
        <w:t>p</w:t>
      </w:r>
      <w:r w:rsidR="00E90ECA" w:rsidRPr="00E41A0E">
        <w:rPr>
          <w:rFonts w:ascii="Arial" w:eastAsia="Times New Roman" w:hAnsi="Arial" w:cs="Arial"/>
          <w:sz w:val="24"/>
          <w:szCs w:val="24"/>
        </w:rPr>
        <w:t xml:space="preserve">otável e </w:t>
      </w:r>
      <w:r w:rsidR="00FC5CB8" w:rsidRPr="00E41A0E">
        <w:rPr>
          <w:rFonts w:ascii="Arial" w:eastAsia="Times New Roman" w:hAnsi="Arial" w:cs="Arial"/>
          <w:sz w:val="24"/>
          <w:szCs w:val="24"/>
        </w:rPr>
        <w:t>s</w:t>
      </w:r>
      <w:r w:rsidR="00E90ECA" w:rsidRPr="00E41A0E">
        <w:rPr>
          <w:rFonts w:ascii="Arial" w:eastAsia="Times New Roman" w:hAnsi="Arial" w:cs="Arial"/>
          <w:sz w:val="24"/>
          <w:szCs w:val="24"/>
        </w:rPr>
        <w:t xml:space="preserve">aneamento, especialmente às metas 6.3 - </w:t>
      </w:r>
      <w:r w:rsidR="00FC5CB8" w:rsidRPr="00E41A0E">
        <w:rPr>
          <w:rFonts w:ascii="Arial" w:eastAsia="Times New Roman" w:hAnsi="Arial" w:cs="Arial"/>
          <w:sz w:val="24"/>
          <w:szCs w:val="24"/>
        </w:rPr>
        <w:t>m</w:t>
      </w:r>
      <w:r w:rsidR="00E90ECA" w:rsidRPr="00E41A0E">
        <w:rPr>
          <w:rFonts w:ascii="Arial" w:eastAsia="Times New Roman" w:hAnsi="Arial" w:cs="Arial"/>
          <w:sz w:val="24"/>
          <w:szCs w:val="24"/>
        </w:rPr>
        <w:t xml:space="preserve">elhorar a qualidade da água, reduzindo a poluição, eliminando despejo e minimizando a liberação de produtos químicos e materiais perigosos, reduzindo à metade a proporção de águas residuais não tratadas e aumentando substancialmente a reciclagem e reutilização segura globalmente, 6.5 - </w:t>
      </w:r>
      <w:r w:rsidR="00FC5CB8" w:rsidRPr="00E41A0E">
        <w:rPr>
          <w:rFonts w:ascii="Arial" w:eastAsia="Times New Roman" w:hAnsi="Arial" w:cs="Arial"/>
          <w:sz w:val="24"/>
          <w:szCs w:val="24"/>
        </w:rPr>
        <w:t>i</w:t>
      </w:r>
      <w:r w:rsidR="00E90ECA" w:rsidRPr="00E41A0E">
        <w:rPr>
          <w:rFonts w:ascii="Arial" w:eastAsia="Times New Roman" w:hAnsi="Arial" w:cs="Arial"/>
          <w:sz w:val="24"/>
          <w:szCs w:val="24"/>
        </w:rPr>
        <w:t>mplementar a gestão integrada dos recursos hídricos em todos os níveis, inclusive via cooperação transfronteiriç</w:t>
      </w:r>
      <w:r w:rsidR="00FC5CB8" w:rsidRPr="00E41A0E">
        <w:rPr>
          <w:rFonts w:ascii="Arial" w:eastAsia="Times New Roman" w:hAnsi="Arial" w:cs="Arial"/>
          <w:sz w:val="24"/>
          <w:szCs w:val="24"/>
        </w:rPr>
        <w:t>a, conforme apropriado e 6.6 - p</w:t>
      </w:r>
      <w:r w:rsidR="00E90ECA" w:rsidRPr="00E41A0E">
        <w:rPr>
          <w:rFonts w:ascii="Arial" w:eastAsia="Times New Roman" w:hAnsi="Arial" w:cs="Arial"/>
          <w:sz w:val="24"/>
          <w:szCs w:val="24"/>
        </w:rPr>
        <w:t>roteger e restaurar ecossistemas relacionados com a água, incluindo montanhas, florestas, zonas úmidas, rios, aquíferos.</w:t>
      </w:r>
    </w:p>
    <w:p w:rsidR="0064050B" w:rsidRPr="00E41A0E" w:rsidRDefault="00E90ECA" w:rsidP="0060058D">
      <w:pPr>
        <w:widowControl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Di</w:t>
      </w:r>
      <w:r w:rsidR="00FC5CB8" w:rsidRPr="00E41A0E">
        <w:rPr>
          <w:rFonts w:ascii="Arial" w:eastAsia="Times New Roman" w:hAnsi="Arial" w:cs="Arial"/>
          <w:sz w:val="24"/>
          <w:szCs w:val="24"/>
        </w:rPr>
        <w:t>ante do exposto, o objetivo dess</w:t>
      </w:r>
      <w:r w:rsidRPr="00E41A0E">
        <w:rPr>
          <w:rFonts w:ascii="Arial" w:eastAsia="Times New Roman" w:hAnsi="Arial" w:cs="Arial"/>
          <w:sz w:val="24"/>
          <w:szCs w:val="24"/>
        </w:rPr>
        <w:t xml:space="preserve">e relato de experiência </w:t>
      </w:r>
      <w:r w:rsidR="00FC5CB8" w:rsidRPr="00E41A0E">
        <w:rPr>
          <w:rFonts w:ascii="Arial" w:eastAsia="Times New Roman" w:hAnsi="Arial" w:cs="Arial"/>
          <w:sz w:val="24"/>
          <w:szCs w:val="24"/>
        </w:rPr>
        <w:t>foi</w:t>
      </w:r>
      <w:r w:rsidRPr="00E41A0E">
        <w:rPr>
          <w:rFonts w:ascii="Arial" w:eastAsia="Times New Roman" w:hAnsi="Arial" w:cs="Arial"/>
          <w:sz w:val="24"/>
          <w:szCs w:val="24"/>
        </w:rPr>
        <w:t xml:space="preserve"> descrever as atividades de curricularização da extensão do curso de Engenharia </w:t>
      </w:r>
      <w:r w:rsidR="00FC5CB8" w:rsidRPr="00E41A0E">
        <w:rPr>
          <w:rFonts w:ascii="Arial" w:eastAsia="Times New Roman" w:hAnsi="Arial" w:cs="Arial"/>
          <w:sz w:val="24"/>
          <w:szCs w:val="24"/>
        </w:rPr>
        <w:t>Química</w:t>
      </w:r>
      <w:r w:rsidRPr="00E41A0E">
        <w:rPr>
          <w:rFonts w:ascii="Arial" w:eastAsia="Times New Roman" w:hAnsi="Arial" w:cs="Arial"/>
          <w:sz w:val="24"/>
          <w:szCs w:val="24"/>
        </w:rPr>
        <w:t xml:space="preserve"> do Centro Universitário de Brusque</w:t>
      </w:r>
      <w:r w:rsidR="00FC5CB8" w:rsidRPr="00E41A0E">
        <w:rPr>
          <w:rFonts w:ascii="Arial" w:eastAsia="Times New Roman" w:hAnsi="Arial" w:cs="Arial"/>
          <w:sz w:val="24"/>
          <w:szCs w:val="24"/>
        </w:rPr>
        <w:t>,</w:t>
      </w:r>
      <w:r w:rsidRPr="00E41A0E">
        <w:rPr>
          <w:rFonts w:ascii="Arial" w:eastAsia="Times New Roman" w:hAnsi="Arial" w:cs="Arial"/>
          <w:sz w:val="24"/>
          <w:szCs w:val="24"/>
        </w:rPr>
        <w:t xml:space="preserve"> no primeiro semestre de 2021.</w:t>
      </w:r>
    </w:p>
    <w:p w:rsidR="0064050B" w:rsidRPr="00E41A0E" w:rsidRDefault="0064050B" w:rsidP="00FC5CB8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 w:rsidP="00AB552C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41A0E">
        <w:rPr>
          <w:rFonts w:ascii="Arial" w:eastAsia="Times New Roman" w:hAnsi="Arial" w:cs="Arial"/>
          <w:b/>
          <w:sz w:val="24"/>
          <w:szCs w:val="24"/>
        </w:rPr>
        <w:t>2 O RELATO DE EXPERIÊNCIA</w:t>
      </w:r>
    </w:p>
    <w:p w:rsidR="0064050B" w:rsidRPr="00E41A0E" w:rsidRDefault="0064050B" w:rsidP="00AB552C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03F01" w:rsidRDefault="00E90ECA" w:rsidP="0029622F">
      <w:pPr>
        <w:widowControl w:val="0"/>
        <w:spacing w:after="0" w:line="360" w:lineRule="auto"/>
        <w:ind w:firstLine="993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 xml:space="preserve">A abordagem utilizada para a pesquisa </w:t>
      </w:r>
      <w:r w:rsidR="00473634" w:rsidRPr="00E41A0E">
        <w:rPr>
          <w:rFonts w:ascii="Arial" w:eastAsia="Times New Roman" w:hAnsi="Arial" w:cs="Arial"/>
          <w:sz w:val="24"/>
          <w:szCs w:val="24"/>
        </w:rPr>
        <w:t xml:space="preserve">foi </w:t>
      </w:r>
      <w:r w:rsidRPr="00E41A0E">
        <w:rPr>
          <w:rFonts w:ascii="Arial" w:eastAsia="Times New Roman" w:hAnsi="Arial" w:cs="Arial"/>
          <w:sz w:val="24"/>
          <w:szCs w:val="24"/>
        </w:rPr>
        <w:t>caracterizada como mista, ou seja, quantitativa e qualitativa, pois o enfoque da pesquisa centr</w:t>
      </w:r>
      <w:r w:rsidR="00473634" w:rsidRPr="00E41A0E">
        <w:rPr>
          <w:rFonts w:ascii="Arial" w:eastAsia="Times New Roman" w:hAnsi="Arial" w:cs="Arial"/>
          <w:sz w:val="24"/>
          <w:szCs w:val="24"/>
        </w:rPr>
        <w:t>ou</w:t>
      </w:r>
      <w:r w:rsidRPr="00E41A0E">
        <w:rPr>
          <w:rFonts w:ascii="Arial" w:eastAsia="Times New Roman" w:hAnsi="Arial" w:cs="Arial"/>
          <w:sz w:val="24"/>
          <w:szCs w:val="24"/>
        </w:rPr>
        <w:t>-se no desenvolvimento de experimentos químicos, físicos, físico-químicos e microbiológicos, avaliados por meio de abordagem analítica</w:t>
      </w:r>
      <w:r w:rsidR="00473634" w:rsidRPr="00E41A0E">
        <w:rPr>
          <w:rFonts w:ascii="Arial" w:eastAsia="Times New Roman" w:hAnsi="Arial" w:cs="Arial"/>
          <w:sz w:val="24"/>
          <w:szCs w:val="24"/>
        </w:rPr>
        <w:t>,</w:t>
      </w:r>
      <w:r w:rsidRPr="00E41A0E">
        <w:rPr>
          <w:rFonts w:ascii="Arial" w:eastAsia="Times New Roman" w:hAnsi="Arial" w:cs="Arial"/>
          <w:sz w:val="24"/>
          <w:szCs w:val="24"/>
        </w:rPr>
        <w:t xml:space="preserve"> a fim de compreender com confiabilidade as variáveis estudadas. Como etapa exploratória</w:t>
      </w:r>
      <w:r w:rsidR="00473634" w:rsidRPr="00E41A0E">
        <w:rPr>
          <w:rFonts w:ascii="Arial" w:eastAsia="Times New Roman" w:hAnsi="Arial" w:cs="Arial"/>
          <w:sz w:val="24"/>
          <w:szCs w:val="24"/>
        </w:rPr>
        <w:t>,</w:t>
      </w:r>
      <w:r w:rsidRPr="00E41A0E">
        <w:rPr>
          <w:rFonts w:ascii="Arial" w:eastAsia="Times New Roman" w:hAnsi="Arial" w:cs="Arial"/>
          <w:sz w:val="24"/>
          <w:szCs w:val="24"/>
        </w:rPr>
        <w:t xml:space="preserve"> realiz</w:t>
      </w:r>
      <w:r w:rsidR="00473634" w:rsidRPr="00E41A0E">
        <w:rPr>
          <w:rFonts w:ascii="Arial" w:eastAsia="Times New Roman" w:hAnsi="Arial" w:cs="Arial"/>
          <w:sz w:val="24"/>
          <w:szCs w:val="24"/>
        </w:rPr>
        <w:t>ou-se</w:t>
      </w:r>
      <w:r w:rsidRPr="00E41A0E">
        <w:rPr>
          <w:rFonts w:ascii="Arial" w:eastAsia="Times New Roman" w:hAnsi="Arial" w:cs="Arial"/>
          <w:sz w:val="24"/>
          <w:szCs w:val="24"/>
        </w:rPr>
        <w:t xml:space="preserve"> uma revisão sistemática em periódicos indexados em </w:t>
      </w:r>
    </w:p>
    <w:p w:rsidR="00203F01" w:rsidRDefault="00203F01" w:rsidP="00203F01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203F01" w:rsidRPr="00203F01" w:rsidRDefault="00203F01" w:rsidP="00203F01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</w:t>
      </w:r>
      <w:r w:rsidRPr="00E90ECA">
        <w:rPr>
          <w:rFonts w:ascii="Arial" w:eastAsia="Times New Roman" w:hAnsi="Arial" w:cs="Arial"/>
          <w:sz w:val="20"/>
          <w:szCs w:val="20"/>
        </w:rPr>
        <w:t>Análise Da Água Do Rio Itajaí Mirim: Um Relato De Experiência</w:t>
      </w:r>
    </w:p>
    <w:p w:rsidR="00473634" w:rsidRPr="00E41A0E" w:rsidRDefault="00E90ECA" w:rsidP="00203F01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 xml:space="preserve">bases de dados nacionais e internacionais de relevância para a temática proposta, visando identificar publicações científicas consistentes </w:t>
      </w:r>
      <w:r w:rsidR="00473634" w:rsidRPr="00E41A0E">
        <w:rPr>
          <w:rFonts w:ascii="Arial" w:eastAsia="Times New Roman" w:hAnsi="Arial" w:cs="Arial"/>
          <w:sz w:val="24"/>
          <w:szCs w:val="24"/>
        </w:rPr>
        <w:t>para</w:t>
      </w:r>
      <w:r w:rsidRPr="00E41A0E">
        <w:rPr>
          <w:rFonts w:ascii="Arial" w:eastAsia="Times New Roman" w:hAnsi="Arial" w:cs="Arial"/>
          <w:sz w:val="24"/>
          <w:szCs w:val="24"/>
        </w:rPr>
        <w:t xml:space="preserve"> construir um panorama teórico atual. </w:t>
      </w:r>
    </w:p>
    <w:p w:rsidR="00F268DE" w:rsidRPr="00E41A0E" w:rsidRDefault="00E90ECA" w:rsidP="0029622F">
      <w:pPr>
        <w:widowControl w:val="0"/>
        <w:spacing w:after="0" w:line="360" w:lineRule="auto"/>
        <w:ind w:firstLine="993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 xml:space="preserve">Cabe lembrar que a intenção não é esgotar o estado da arte, mas, identificar e avaliar experiências e métodos já aplicados em problemáticas semelhantes </w:t>
      </w:r>
      <w:r w:rsidR="00985532" w:rsidRPr="00E41A0E">
        <w:rPr>
          <w:rFonts w:ascii="Arial" w:eastAsia="Times New Roman" w:hAnsi="Arial" w:cs="Arial"/>
          <w:sz w:val="24"/>
          <w:szCs w:val="24"/>
        </w:rPr>
        <w:t>a</w:t>
      </w:r>
      <w:r w:rsidRPr="00E41A0E">
        <w:rPr>
          <w:rFonts w:ascii="Arial" w:eastAsia="Times New Roman" w:hAnsi="Arial" w:cs="Arial"/>
          <w:sz w:val="24"/>
          <w:szCs w:val="24"/>
        </w:rPr>
        <w:t xml:space="preserve"> </w:t>
      </w:r>
      <w:r w:rsidR="00985532" w:rsidRPr="00E41A0E">
        <w:rPr>
          <w:rFonts w:ascii="Arial" w:eastAsia="Times New Roman" w:hAnsi="Arial" w:cs="Arial"/>
          <w:sz w:val="24"/>
          <w:szCs w:val="24"/>
        </w:rPr>
        <w:t>esse</w:t>
      </w:r>
      <w:r w:rsidRPr="00E41A0E">
        <w:rPr>
          <w:rFonts w:ascii="Arial" w:eastAsia="Times New Roman" w:hAnsi="Arial" w:cs="Arial"/>
          <w:sz w:val="24"/>
          <w:szCs w:val="24"/>
        </w:rPr>
        <w:t xml:space="preserve"> projeto. Já para responder aos objetivos do projeto, a segunda etapa inici</w:t>
      </w:r>
      <w:r w:rsidR="00985532" w:rsidRPr="00E41A0E">
        <w:rPr>
          <w:rFonts w:ascii="Arial" w:eastAsia="Times New Roman" w:hAnsi="Arial" w:cs="Arial"/>
          <w:sz w:val="24"/>
          <w:szCs w:val="24"/>
        </w:rPr>
        <w:t>ou</w:t>
      </w:r>
      <w:r w:rsidRPr="00E41A0E">
        <w:rPr>
          <w:rFonts w:ascii="Arial" w:eastAsia="Times New Roman" w:hAnsi="Arial" w:cs="Arial"/>
          <w:sz w:val="24"/>
          <w:szCs w:val="24"/>
        </w:rPr>
        <w:t xml:space="preserve"> pela execução dos objetivos específicos, que consist</w:t>
      </w:r>
      <w:r w:rsidR="00F268DE" w:rsidRPr="00E41A0E">
        <w:rPr>
          <w:rFonts w:ascii="Arial" w:eastAsia="Times New Roman" w:hAnsi="Arial" w:cs="Arial"/>
          <w:sz w:val="24"/>
          <w:szCs w:val="24"/>
        </w:rPr>
        <w:t>ira</w:t>
      </w:r>
      <w:r w:rsidRPr="00E41A0E">
        <w:rPr>
          <w:rFonts w:ascii="Arial" w:eastAsia="Times New Roman" w:hAnsi="Arial" w:cs="Arial"/>
          <w:sz w:val="24"/>
          <w:szCs w:val="24"/>
        </w:rPr>
        <w:t xml:space="preserve">m na realização de ensaios experimentais pautados em uma abordagem analítica, que subsidiará a identificação das características químicas, físicas, físico-químicas e microbiológicas da água do rio e os elementos influenciadores de seu meio. </w:t>
      </w:r>
    </w:p>
    <w:p w:rsidR="00CC200D" w:rsidRPr="00E41A0E" w:rsidRDefault="00E90ECA" w:rsidP="00CC200D">
      <w:pPr>
        <w:tabs>
          <w:tab w:val="left" w:pos="9356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 xml:space="preserve">A seleção das análises </w:t>
      </w:r>
      <w:r w:rsidR="00F268DE" w:rsidRPr="00E41A0E">
        <w:rPr>
          <w:rFonts w:ascii="Arial" w:eastAsia="Times New Roman" w:hAnsi="Arial" w:cs="Arial"/>
          <w:sz w:val="24"/>
          <w:szCs w:val="24"/>
        </w:rPr>
        <w:t>foi</w:t>
      </w:r>
      <w:r w:rsidRPr="00E41A0E">
        <w:rPr>
          <w:rFonts w:ascii="Arial" w:eastAsia="Times New Roman" w:hAnsi="Arial" w:cs="Arial"/>
          <w:sz w:val="24"/>
          <w:szCs w:val="24"/>
        </w:rPr>
        <w:t xml:space="preserve"> realizada por meio de métodos descritos nas publicações científicas identificadas na primeira etapa, bem como </w:t>
      </w:r>
      <w:r w:rsidR="00F268DE" w:rsidRPr="00E41A0E">
        <w:rPr>
          <w:rFonts w:ascii="Arial" w:eastAsia="Times New Roman" w:hAnsi="Arial" w:cs="Arial"/>
          <w:sz w:val="24"/>
          <w:szCs w:val="24"/>
        </w:rPr>
        <w:t xml:space="preserve">a </w:t>
      </w:r>
      <w:r w:rsidRPr="00E41A0E">
        <w:rPr>
          <w:rFonts w:ascii="Arial" w:eastAsia="Times New Roman" w:hAnsi="Arial" w:cs="Arial"/>
          <w:sz w:val="24"/>
          <w:szCs w:val="24"/>
        </w:rPr>
        <w:t>utilização de métodos analíticos corroborados na literatura</w:t>
      </w:r>
      <w:r w:rsidR="00F268DE" w:rsidRPr="00E41A0E">
        <w:rPr>
          <w:rFonts w:ascii="Arial" w:eastAsia="Times New Roman" w:hAnsi="Arial" w:cs="Arial"/>
          <w:sz w:val="24"/>
          <w:szCs w:val="24"/>
        </w:rPr>
        <w:t>,</w:t>
      </w:r>
      <w:r w:rsidRPr="00E41A0E">
        <w:rPr>
          <w:rFonts w:ascii="Arial" w:eastAsia="Times New Roman" w:hAnsi="Arial" w:cs="Arial"/>
          <w:sz w:val="24"/>
          <w:szCs w:val="24"/>
        </w:rPr>
        <w:t xml:space="preserve"> utilizados por grandes estações de acompanhamento. Além disso, como aporte</w:t>
      </w:r>
      <w:r w:rsidR="00F268DE" w:rsidRPr="00E41A0E">
        <w:rPr>
          <w:rFonts w:ascii="Arial" w:eastAsia="Times New Roman" w:hAnsi="Arial" w:cs="Arial"/>
          <w:sz w:val="24"/>
          <w:szCs w:val="24"/>
        </w:rPr>
        <w:t>,</w:t>
      </w:r>
      <w:r w:rsidRPr="00E41A0E">
        <w:rPr>
          <w:rFonts w:ascii="Arial" w:eastAsia="Times New Roman" w:hAnsi="Arial" w:cs="Arial"/>
          <w:sz w:val="24"/>
          <w:szCs w:val="24"/>
        </w:rPr>
        <w:t xml:space="preserve"> se utiliz</w:t>
      </w:r>
      <w:r w:rsidR="00F268DE" w:rsidRPr="00E41A0E">
        <w:rPr>
          <w:rFonts w:ascii="Arial" w:eastAsia="Times New Roman" w:hAnsi="Arial" w:cs="Arial"/>
          <w:sz w:val="24"/>
          <w:szCs w:val="24"/>
        </w:rPr>
        <w:t>ou</w:t>
      </w:r>
      <w:r w:rsidRPr="00E41A0E">
        <w:rPr>
          <w:rFonts w:ascii="Arial" w:eastAsia="Times New Roman" w:hAnsi="Arial" w:cs="Arial"/>
          <w:sz w:val="24"/>
          <w:szCs w:val="24"/>
        </w:rPr>
        <w:t xml:space="preserve"> a infraestrutura de equipamentos do laboratório de Bioquímica e Analítica da UNIFEBE.</w:t>
      </w:r>
      <w:r w:rsidR="00CC200D" w:rsidRPr="00E41A0E">
        <w:rPr>
          <w:rFonts w:ascii="Arial" w:eastAsia="Times New Roman" w:hAnsi="Arial" w:cs="Arial"/>
          <w:sz w:val="24"/>
          <w:szCs w:val="24"/>
        </w:rPr>
        <w:t xml:space="preserve"> A Tabela 1 demonstrou cada etapa dessa pesquisa.</w:t>
      </w:r>
    </w:p>
    <w:p w:rsidR="0064050B" w:rsidRPr="00E41A0E" w:rsidRDefault="0064050B" w:rsidP="00CC200D">
      <w:pPr>
        <w:widowControl w:val="0"/>
        <w:spacing w:after="0" w:line="360" w:lineRule="auto"/>
        <w:ind w:firstLine="993"/>
        <w:jc w:val="both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2251D4" w:rsidP="002251D4">
      <w:pPr>
        <w:spacing w:after="0" w:line="240" w:lineRule="auto"/>
        <w:ind w:left="-142"/>
        <w:jc w:val="both"/>
        <w:rPr>
          <w:rFonts w:ascii="Arial" w:eastAsia="Times New Roman" w:hAnsi="Arial" w:cs="Arial"/>
          <w:sz w:val="20"/>
          <w:szCs w:val="24"/>
        </w:rPr>
      </w:pPr>
      <w:r w:rsidRPr="00E41A0E">
        <w:rPr>
          <w:rFonts w:ascii="Arial" w:eastAsia="Times New Roman" w:hAnsi="Arial" w:cs="Arial"/>
          <w:sz w:val="20"/>
          <w:szCs w:val="24"/>
        </w:rPr>
        <w:t>Tabela</w:t>
      </w:r>
      <w:r w:rsidR="00E90ECA" w:rsidRPr="00E41A0E">
        <w:rPr>
          <w:rFonts w:ascii="Arial" w:eastAsia="Times New Roman" w:hAnsi="Arial" w:cs="Arial"/>
          <w:sz w:val="20"/>
          <w:szCs w:val="24"/>
        </w:rPr>
        <w:t xml:space="preserve"> 1</w:t>
      </w:r>
      <w:r w:rsidRPr="00E41A0E">
        <w:rPr>
          <w:rFonts w:ascii="Arial" w:eastAsia="Times New Roman" w:hAnsi="Arial" w:cs="Arial"/>
          <w:sz w:val="20"/>
          <w:szCs w:val="24"/>
        </w:rPr>
        <w:t xml:space="preserve"> -</w:t>
      </w:r>
      <w:r w:rsidR="00E90ECA" w:rsidRPr="00E41A0E">
        <w:rPr>
          <w:rFonts w:ascii="Arial" w:eastAsia="Times New Roman" w:hAnsi="Arial" w:cs="Arial"/>
          <w:sz w:val="20"/>
          <w:szCs w:val="24"/>
        </w:rPr>
        <w:t xml:space="preserve"> Atividades desenvolvidas pelos acadêmicos</w:t>
      </w:r>
      <w:r w:rsidRPr="00E41A0E">
        <w:rPr>
          <w:rFonts w:ascii="Arial" w:eastAsia="Times New Roman" w:hAnsi="Arial" w:cs="Arial"/>
          <w:sz w:val="20"/>
          <w:szCs w:val="24"/>
        </w:rPr>
        <w:t xml:space="preserve"> do curso de engenharia química</w:t>
      </w:r>
    </w:p>
    <w:tbl>
      <w:tblPr>
        <w:tblStyle w:val="a1"/>
        <w:tblW w:w="8685" w:type="dxa"/>
        <w:jc w:val="center"/>
        <w:tblInd w:w="0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5198"/>
        <w:gridCol w:w="1987"/>
      </w:tblGrid>
      <w:tr w:rsidR="00E41A0E" w:rsidRPr="00E41A0E" w:rsidTr="002251D4">
        <w:trPr>
          <w:trHeight w:val="227"/>
          <w:jc w:val="center"/>
        </w:trPr>
        <w:tc>
          <w:tcPr>
            <w:tcW w:w="1500" w:type="dxa"/>
            <w:shd w:val="clear" w:color="auto" w:fill="E7E6E6" w:themeFill="background2"/>
            <w:vAlign w:val="bottom"/>
          </w:tcPr>
          <w:p w:rsidR="0064050B" w:rsidRPr="00E41A0E" w:rsidRDefault="00E90ECA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5197" w:type="dxa"/>
            <w:shd w:val="clear" w:color="auto" w:fill="E7E6E6" w:themeFill="background2"/>
            <w:vAlign w:val="bottom"/>
          </w:tcPr>
          <w:p w:rsidR="0064050B" w:rsidRPr="00E41A0E" w:rsidRDefault="00E90ECA">
            <w:pPr>
              <w:tabs>
                <w:tab w:val="left" w:pos="9356"/>
              </w:tabs>
              <w:spacing w:after="0" w:line="240" w:lineRule="auto"/>
              <w:ind w:right="455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1987" w:type="dxa"/>
            <w:shd w:val="clear" w:color="auto" w:fill="E7E6E6" w:themeFill="background2"/>
            <w:vAlign w:val="bottom"/>
          </w:tcPr>
          <w:p w:rsidR="0064050B" w:rsidRPr="00E41A0E" w:rsidRDefault="00E90ECA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b/>
                <w:sz w:val="20"/>
                <w:szCs w:val="20"/>
              </w:rPr>
              <w:t>CARGA HORÁRIA</w:t>
            </w:r>
          </w:p>
          <w:p w:rsidR="0064050B" w:rsidRPr="00E41A0E" w:rsidRDefault="00E90ECA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b/>
                <w:sz w:val="20"/>
                <w:szCs w:val="20"/>
              </w:rPr>
              <w:t>PERÍODO + ATIVIDADE EXTRACLASSE</w:t>
            </w:r>
          </w:p>
        </w:tc>
      </w:tr>
      <w:tr w:rsidR="00E41A0E" w:rsidRPr="00E41A0E" w:rsidTr="002251D4">
        <w:trPr>
          <w:trHeight w:val="227"/>
          <w:jc w:val="center"/>
        </w:trPr>
        <w:tc>
          <w:tcPr>
            <w:tcW w:w="1500" w:type="dxa"/>
            <w:vAlign w:val="bottom"/>
          </w:tcPr>
          <w:p w:rsidR="0064050B" w:rsidRPr="00E41A0E" w:rsidRDefault="00E90ECA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1º DIA</w:t>
            </w:r>
          </w:p>
        </w:tc>
        <w:tc>
          <w:tcPr>
            <w:tcW w:w="5197" w:type="dxa"/>
            <w:vAlign w:val="bottom"/>
          </w:tcPr>
          <w:p w:rsidR="0064050B" w:rsidRPr="00E41A0E" w:rsidRDefault="00E90ECA" w:rsidP="002251D4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APRESENTAÇÃO Institucional – Palestra sobre Educação Ambiental com Prof. José Sommer</w:t>
            </w:r>
          </w:p>
        </w:tc>
        <w:tc>
          <w:tcPr>
            <w:tcW w:w="1987" w:type="dxa"/>
            <w:vAlign w:val="bottom"/>
          </w:tcPr>
          <w:p w:rsidR="0064050B" w:rsidRPr="00E41A0E" w:rsidRDefault="00E90ECA" w:rsidP="002251D4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3,2 + 0,8</w:t>
            </w:r>
          </w:p>
        </w:tc>
      </w:tr>
      <w:tr w:rsidR="00E41A0E" w:rsidRPr="00E41A0E" w:rsidTr="002251D4">
        <w:trPr>
          <w:trHeight w:val="227"/>
          <w:jc w:val="center"/>
        </w:trPr>
        <w:tc>
          <w:tcPr>
            <w:tcW w:w="1500" w:type="dxa"/>
            <w:vAlign w:val="bottom"/>
          </w:tcPr>
          <w:p w:rsidR="0064050B" w:rsidRPr="00E41A0E" w:rsidRDefault="00E90ECA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2º DIA</w:t>
            </w:r>
          </w:p>
        </w:tc>
        <w:tc>
          <w:tcPr>
            <w:tcW w:w="5197" w:type="dxa"/>
            <w:vAlign w:val="bottom"/>
          </w:tcPr>
          <w:p w:rsidR="0064050B" w:rsidRPr="00E41A0E" w:rsidRDefault="00E90ECA" w:rsidP="002251D4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Apresentação do diagnóstico com a participação de um representante do Samae de Brusque (Ricardo Bortolotto)</w:t>
            </w:r>
          </w:p>
        </w:tc>
        <w:tc>
          <w:tcPr>
            <w:tcW w:w="1987" w:type="dxa"/>
            <w:vAlign w:val="bottom"/>
          </w:tcPr>
          <w:p w:rsidR="0064050B" w:rsidRPr="00E41A0E" w:rsidRDefault="00E90ECA" w:rsidP="002251D4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3,2 + 0,8</w:t>
            </w:r>
          </w:p>
        </w:tc>
      </w:tr>
      <w:tr w:rsidR="00E41A0E" w:rsidRPr="00E41A0E" w:rsidTr="002251D4">
        <w:trPr>
          <w:trHeight w:val="227"/>
          <w:jc w:val="center"/>
        </w:trPr>
        <w:tc>
          <w:tcPr>
            <w:tcW w:w="1500" w:type="dxa"/>
            <w:vAlign w:val="bottom"/>
          </w:tcPr>
          <w:p w:rsidR="0064050B" w:rsidRPr="00E41A0E" w:rsidRDefault="00E90ECA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3º DIA</w:t>
            </w:r>
          </w:p>
        </w:tc>
        <w:tc>
          <w:tcPr>
            <w:tcW w:w="5197" w:type="dxa"/>
            <w:vAlign w:val="bottom"/>
          </w:tcPr>
          <w:p w:rsidR="0064050B" w:rsidRPr="00E41A0E" w:rsidRDefault="00E90ECA" w:rsidP="002251D4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Distribuição das atividades e divisão das equipes</w:t>
            </w:r>
          </w:p>
        </w:tc>
        <w:tc>
          <w:tcPr>
            <w:tcW w:w="1987" w:type="dxa"/>
            <w:vAlign w:val="bottom"/>
          </w:tcPr>
          <w:p w:rsidR="0064050B" w:rsidRPr="00E41A0E" w:rsidRDefault="00E90ECA" w:rsidP="002251D4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3,2 + 0,8</w:t>
            </w:r>
          </w:p>
        </w:tc>
      </w:tr>
      <w:tr w:rsidR="00E41A0E" w:rsidRPr="00E41A0E" w:rsidTr="002251D4">
        <w:trPr>
          <w:trHeight w:val="227"/>
          <w:jc w:val="center"/>
        </w:trPr>
        <w:tc>
          <w:tcPr>
            <w:tcW w:w="1500" w:type="dxa"/>
            <w:vAlign w:val="bottom"/>
          </w:tcPr>
          <w:p w:rsidR="0064050B" w:rsidRPr="00E41A0E" w:rsidRDefault="00E90ECA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4º DIA</w:t>
            </w:r>
          </w:p>
        </w:tc>
        <w:tc>
          <w:tcPr>
            <w:tcW w:w="5197" w:type="dxa"/>
            <w:vAlign w:val="bottom"/>
          </w:tcPr>
          <w:p w:rsidR="0064050B" w:rsidRPr="00E41A0E" w:rsidRDefault="00E90ECA" w:rsidP="002251D4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 xml:space="preserve">Coleta de materiais in loco </w:t>
            </w:r>
          </w:p>
        </w:tc>
        <w:tc>
          <w:tcPr>
            <w:tcW w:w="1987" w:type="dxa"/>
            <w:vAlign w:val="bottom"/>
          </w:tcPr>
          <w:p w:rsidR="0064050B" w:rsidRPr="00E41A0E" w:rsidRDefault="00E90ECA" w:rsidP="002251D4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3,2 + 0,8</w:t>
            </w:r>
          </w:p>
        </w:tc>
      </w:tr>
      <w:tr w:rsidR="00E41A0E" w:rsidRPr="00E41A0E" w:rsidTr="002251D4">
        <w:trPr>
          <w:trHeight w:val="227"/>
          <w:jc w:val="center"/>
        </w:trPr>
        <w:tc>
          <w:tcPr>
            <w:tcW w:w="1500" w:type="dxa"/>
            <w:vAlign w:val="bottom"/>
          </w:tcPr>
          <w:p w:rsidR="0064050B" w:rsidRPr="00E41A0E" w:rsidRDefault="00E90ECA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5º DIA</w:t>
            </w:r>
          </w:p>
        </w:tc>
        <w:tc>
          <w:tcPr>
            <w:tcW w:w="5197" w:type="dxa"/>
            <w:vAlign w:val="bottom"/>
          </w:tcPr>
          <w:p w:rsidR="0064050B" w:rsidRPr="00E41A0E" w:rsidRDefault="00E90ECA" w:rsidP="002251D4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Execução dos trabalhos</w:t>
            </w:r>
          </w:p>
        </w:tc>
        <w:tc>
          <w:tcPr>
            <w:tcW w:w="1987" w:type="dxa"/>
            <w:vAlign w:val="bottom"/>
          </w:tcPr>
          <w:p w:rsidR="0064050B" w:rsidRPr="00E41A0E" w:rsidRDefault="00E90ECA" w:rsidP="002251D4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3,2 + 0,8</w:t>
            </w:r>
          </w:p>
        </w:tc>
      </w:tr>
      <w:tr w:rsidR="00E41A0E" w:rsidRPr="00E41A0E" w:rsidTr="002251D4">
        <w:trPr>
          <w:trHeight w:val="227"/>
          <w:jc w:val="center"/>
        </w:trPr>
        <w:tc>
          <w:tcPr>
            <w:tcW w:w="1500" w:type="dxa"/>
            <w:vAlign w:val="bottom"/>
          </w:tcPr>
          <w:p w:rsidR="0064050B" w:rsidRPr="00E41A0E" w:rsidRDefault="00E90ECA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6º DIA:</w:t>
            </w:r>
          </w:p>
        </w:tc>
        <w:tc>
          <w:tcPr>
            <w:tcW w:w="5197" w:type="dxa"/>
            <w:vAlign w:val="bottom"/>
          </w:tcPr>
          <w:p w:rsidR="0064050B" w:rsidRPr="00E41A0E" w:rsidRDefault="00E90ECA" w:rsidP="002251D4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Execução dos trabalhos</w:t>
            </w:r>
          </w:p>
        </w:tc>
        <w:tc>
          <w:tcPr>
            <w:tcW w:w="1987" w:type="dxa"/>
            <w:vAlign w:val="bottom"/>
          </w:tcPr>
          <w:p w:rsidR="0064050B" w:rsidRPr="00E41A0E" w:rsidRDefault="00E90ECA" w:rsidP="002251D4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3,2 + 0,8</w:t>
            </w:r>
          </w:p>
        </w:tc>
      </w:tr>
      <w:tr w:rsidR="00E41A0E" w:rsidRPr="00E41A0E" w:rsidTr="002251D4">
        <w:trPr>
          <w:trHeight w:val="227"/>
          <w:jc w:val="center"/>
        </w:trPr>
        <w:tc>
          <w:tcPr>
            <w:tcW w:w="1500" w:type="dxa"/>
            <w:vAlign w:val="bottom"/>
          </w:tcPr>
          <w:p w:rsidR="0064050B" w:rsidRPr="00E41A0E" w:rsidRDefault="00E90ECA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7º DIA:</w:t>
            </w:r>
          </w:p>
        </w:tc>
        <w:tc>
          <w:tcPr>
            <w:tcW w:w="5197" w:type="dxa"/>
            <w:vAlign w:val="bottom"/>
          </w:tcPr>
          <w:p w:rsidR="0064050B" w:rsidRPr="00E41A0E" w:rsidRDefault="00E90ECA" w:rsidP="002251D4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Execução dos trabalhos</w:t>
            </w:r>
          </w:p>
        </w:tc>
        <w:tc>
          <w:tcPr>
            <w:tcW w:w="1987" w:type="dxa"/>
            <w:vAlign w:val="bottom"/>
          </w:tcPr>
          <w:p w:rsidR="0064050B" w:rsidRPr="00E41A0E" w:rsidRDefault="00E90ECA" w:rsidP="002251D4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3,2 + 0,8</w:t>
            </w:r>
          </w:p>
        </w:tc>
      </w:tr>
      <w:tr w:rsidR="00E41A0E" w:rsidRPr="00E41A0E" w:rsidTr="002251D4">
        <w:trPr>
          <w:trHeight w:val="227"/>
          <w:jc w:val="center"/>
        </w:trPr>
        <w:tc>
          <w:tcPr>
            <w:tcW w:w="1500" w:type="dxa"/>
            <w:vAlign w:val="bottom"/>
          </w:tcPr>
          <w:p w:rsidR="0064050B" w:rsidRPr="00E41A0E" w:rsidRDefault="00E90ECA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8º DIA:</w:t>
            </w:r>
          </w:p>
        </w:tc>
        <w:tc>
          <w:tcPr>
            <w:tcW w:w="5197" w:type="dxa"/>
            <w:vAlign w:val="bottom"/>
          </w:tcPr>
          <w:p w:rsidR="0064050B" w:rsidRPr="00E41A0E" w:rsidRDefault="00E90ECA" w:rsidP="002251D4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Apresentação prévia para os professores do curso</w:t>
            </w:r>
          </w:p>
        </w:tc>
        <w:tc>
          <w:tcPr>
            <w:tcW w:w="1987" w:type="dxa"/>
            <w:vAlign w:val="bottom"/>
          </w:tcPr>
          <w:p w:rsidR="0064050B" w:rsidRPr="00E41A0E" w:rsidRDefault="00E90ECA" w:rsidP="002251D4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3,2 + 0,8</w:t>
            </w:r>
          </w:p>
        </w:tc>
      </w:tr>
      <w:tr w:rsidR="00E41A0E" w:rsidRPr="00E41A0E" w:rsidTr="002251D4">
        <w:trPr>
          <w:trHeight w:val="227"/>
          <w:jc w:val="center"/>
        </w:trPr>
        <w:tc>
          <w:tcPr>
            <w:tcW w:w="1500" w:type="dxa"/>
            <w:vAlign w:val="bottom"/>
          </w:tcPr>
          <w:p w:rsidR="0064050B" w:rsidRPr="00E41A0E" w:rsidRDefault="00E90ECA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9º DIA:</w:t>
            </w:r>
          </w:p>
        </w:tc>
        <w:tc>
          <w:tcPr>
            <w:tcW w:w="5197" w:type="dxa"/>
            <w:vAlign w:val="bottom"/>
          </w:tcPr>
          <w:p w:rsidR="0064050B" w:rsidRPr="00E41A0E" w:rsidRDefault="00E90ECA" w:rsidP="002251D4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Apresentação dos resultados com a participação do agente externo</w:t>
            </w:r>
          </w:p>
        </w:tc>
        <w:tc>
          <w:tcPr>
            <w:tcW w:w="1987" w:type="dxa"/>
            <w:vAlign w:val="bottom"/>
          </w:tcPr>
          <w:p w:rsidR="0064050B" w:rsidRPr="00E41A0E" w:rsidRDefault="00E90ECA" w:rsidP="002251D4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3,2 + 0,8</w:t>
            </w:r>
          </w:p>
        </w:tc>
      </w:tr>
      <w:tr w:rsidR="00E41A0E" w:rsidRPr="00E41A0E" w:rsidTr="002251D4">
        <w:trPr>
          <w:trHeight w:val="227"/>
          <w:jc w:val="center"/>
        </w:trPr>
        <w:tc>
          <w:tcPr>
            <w:tcW w:w="6698" w:type="dxa"/>
            <w:gridSpan w:val="2"/>
            <w:vAlign w:val="bottom"/>
          </w:tcPr>
          <w:p w:rsidR="0064050B" w:rsidRPr="00E41A0E" w:rsidRDefault="00E90ECA">
            <w:pPr>
              <w:tabs>
                <w:tab w:val="left" w:pos="935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1987" w:type="dxa"/>
            <w:vAlign w:val="bottom"/>
          </w:tcPr>
          <w:p w:rsidR="0064050B" w:rsidRPr="00E41A0E" w:rsidRDefault="00E90ECA" w:rsidP="002251D4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</w:tr>
    </w:tbl>
    <w:p w:rsidR="0064050B" w:rsidRPr="00E41A0E" w:rsidRDefault="0032676E" w:rsidP="002251D4">
      <w:pPr>
        <w:spacing w:after="0" w:line="240" w:lineRule="auto"/>
        <w:ind w:left="-142"/>
        <w:jc w:val="both"/>
        <w:rPr>
          <w:rFonts w:ascii="Arial" w:eastAsia="Times New Roman" w:hAnsi="Arial" w:cs="Arial"/>
          <w:sz w:val="20"/>
          <w:szCs w:val="24"/>
        </w:rPr>
      </w:pPr>
      <w:r w:rsidRPr="00E41A0E">
        <w:rPr>
          <w:rFonts w:ascii="Arial" w:eastAsia="Times New Roman" w:hAnsi="Arial" w:cs="Arial"/>
          <w:sz w:val="20"/>
          <w:szCs w:val="24"/>
        </w:rPr>
        <w:t xml:space="preserve"> </w:t>
      </w:r>
      <w:r w:rsidR="00E90ECA" w:rsidRPr="00E41A0E">
        <w:rPr>
          <w:rFonts w:ascii="Arial" w:eastAsia="Times New Roman" w:hAnsi="Arial" w:cs="Arial"/>
          <w:sz w:val="20"/>
          <w:szCs w:val="24"/>
        </w:rPr>
        <w:t>Fonte: os autores (2021).</w:t>
      </w:r>
    </w:p>
    <w:p w:rsidR="0032676E" w:rsidRPr="00E41A0E" w:rsidRDefault="0032676E" w:rsidP="0032676E">
      <w:pPr>
        <w:widowControl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Verificou-se através da Tabela 1, que o projeto foi desenvolvido durante a carga horária de 36 horas, contando com a participação ativa dos acadêmicos e professores.</w:t>
      </w:r>
    </w:p>
    <w:p w:rsidR="00203F01" w:rsidRPr="00203F01" w:rsidRDefault="00203F01" w:rsidP="00203F01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</w:t>
      </w:r>
      <w:r w:rsidRPr="00E90ECA">
        <w:rPr>
          <w:rFonts w:ascii="Arial" w:eastAsia="Times New Roman" w:hAnsi="Arial" w:cs="Arial"/>
          <w:sz w:val="20"/>
          <w:szCs w:val="20"/>
        </w:rPr>
        <w:t>Análise Da Água Do Rio Itajaí Mirim: Um Relato De Experiência</w:t>
      </w:r>
    </w:p>
    <w:p w:rsidR="0064050B" w:rsidRPr="00E41A0E" w:rsidRDefault="00E90ECA" w:rsidP="00AB552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E41A0E">
        <w:rPr>
          <w:rFonts w:ascii="Arial" w:eastAsia="Times New Roman" w:hAnsi="Arial" w:cs="Arial"/>
          <w:sz w:val="24"/>
          <w:szCs w:val="24"/>
          <w:highlight w:val="white"/>
        </w:rPr>
        <w:t>De Botuverá até o bairro Limoeiro, em Itajaí, os acadêmicos de Engenharia Química da UNIFEBE coletaram, em quatro pontos diferentes, amostras de água do Rio Itajaí-Mirim. Em parceria com o Serviço Autônomo Municipal de Água e Esgoto (Samae) de Brusque, os estudantes analisaram a qualidade da água, levando em consideração o contexto de cada região onde o material foi coletado.</w:t>
      </w:r>
      <w:r w:rsidR="00A22E61" w:rsidRPr="00E41A0E">
        <w:rPr>
          <w:rFonts w:ascii="Arial" w:eastAsia="Times New Roman" w:hAnsi="Arial" w:cs="Arial"/>
          <w:sz w:val="24"/>
          <w:szCs w:val="24"/>
          <w:highlight w:val="white"/>
        </w:rPr>
        <w:t xml:space="preserve"> Na Figura 1, verificou-se a coleta de materiais realizada no rio pelo acadêmico.</w:t>
      </w:r>
    </w:p>
    <w:p w:rsidR="0064050B" w:rsidRPr="00E41A0E" w:rsidRDefault="0064050B" w:rsidP="00AB552C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64050B" w:rsidRPr="00E41A0E" w:rsidRDefault="005D0F44" w:rsidP="005D0F44">
      <w:pPr>
        <w:spacing w:after="0" w:line="240" w:lineRule="auto"/>
        <w:ind w:firstLine="2127"/>
        <w:jc w:val="both"/>
        <w:rPr>
          <w:rFonts w:ascii="Arial" w:eastAsia="Times New Roman" w:hAnsi="Arial" w:cs="Arial"/>
          <w:sz w:val="20"/>
          <w:szCs w:val="24"/>
        </w:rPr>
      </w:pPr>
      <w:r w:rsidRPr="00E41A0E">
        <w:rPr>
          <w:rFonts w:ascii="Arial" w:eastAsia="Times New Roman" w:hAnsi="Arial" w:cs="Arial"/>
          <w:sz w:val="20"/>
          <w:szCs w:val="24"/>
        </w:rPr>
        <w:t>Figura</w:t>
      </w:r>
      <w:r w:rsidR="00E90ECA" w:rsidRPr="00E41A0E">
        <w:rPr>
          <w:rFonts w:ascii="Arial" w:eastAsia="Times New Roman" w:hAnsi="Arial" w:cs="Arial"/>
          <w:sz w:val="20"/>
          <w:szCs w:val="24"/>
        </w:rPr>
        <w:t xml:space="preserve"> 1</w:t>
      </w:r>
      <w:r w:rsidRPr="00E41A0E">
        <w:rPr>
          <w:rFonts w:ascii="Arial" w:eastAsia="Times New Roman" w:hAnsi="Arial" w:cs="Arial"/>
          <w:sz w:val="20"/>
          <w:szCs w:val="24"/>
        </w:rPr>
        <w:t xml:space="preserve"> -</w:t>
      </w:r>
      <w:r w:rsidR="00E90ECA" w:rsidRPr="00E41A0E">
        <w:rPr>
          <w:rFonts w:ascii="Arial" w:eastAsia="Times New Roman" w:hAnsi="Arial" w:cs="Arial"/>
          <w:sz w:val="20"/>
          <w:szCs w:val="24"/>
        </w:rPr>
        <w:t xml:space="preserve"> </w:t>
      </w:r>
      <w:r w:rsidRPr="00E41A0E">
        <w:rPr>
          <w:rFonts w:ascii="Arial" w:eastAsia="Times New Roman" w:hAnsi="Arial" w:cs="Arial"/>
          <w:sz w:val="20"/>
          <w:szCs w:val="24"/>
        </w:rPr>
        <w:t>Coleta realizada por acadêmicos</w:t>
      </w:r>
    </w:p>
    <w:p w:rsidR="0064050B" w:rsidRPr="00E41A0E" w:rsidRDefault="00E90ECA" w:rsidP="00AB55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</w:rPr>
      </w:pPr>
      <w:r w:rsidRPr="00E41A0E">
        <w:rPr>
          <w:rFonts w:ascii="Arial" w:hAnsi="Arial" w:cs="Arial"/>
          <w:noProof/>
          <w:sz w:val="18"/>
        </w:rPr>
        <w:drawing>
          <wp:inline distT="0" distB="0" distL="0" distR="0" wp14:anchorId="0DDA78B5" wp14:editId="11558036">
            <wp:extent cx="2720587" cy="3636289"/>
            <wp:effectExtent l="0" t="0" r="0" b="0"/>
            <wp:docPr id="3" name="image2.jpg" descr="https://www.unifebe.edu.br/site/wp-content/uploads/engenharia-quimica-da-unifebe-analisa-agua-do-rio-itajai-mirim-em-parceria-com-o-samae-de-brusque-engenharia-quimica-da-unifebe-analisa-agua-do-rio-itajai-mirim-em-parceria-com-o-samae-de-brusqu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www.unifebe.edu.br/site/wp-content/uploads/engenharia-quimica-da-unifebe-analisa-agua-do-rio-itajai-mirim-em-parceria-com-o-samae-de-brusque-engenharia-quimica-da-unifebe-analisa-agua-do-rio-itajai-mirim-em-parceria-com-o-samae-de-brusque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0587" cy="36362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4050B" w:rsidRPr="00E41A0E" w:rsidRDefault="00E90ECA" w:rsidP="005D0F44">
      <w:pPr>
        <w:spacing w:after="0" w:line="240" w:lineRule="auto"/>
        <w:ind w:firstLine="2127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0"/>
          <w:szCs w:val="24"/>
        </w:rPr>
        <w:t>Fonte: os autores (2021).</w:t>
      </w:r>
    </w:p>
    <w:p w:rsidR="0064050B" w:rsidRPr="00E41A0E" w:rsidRDefault="0064050B" w:rsidP="00502A2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9456B" w:rsidRPr="00E41A0E" w:rsidRDefault="00E90ECA" w:rsidP="00502A2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E41A0E">
        <w:rPr>
          <w:rFonts w:ascii="Arial" w:eastAsia="Times New Roman" w:hAnsi="Arial" w:cs="Arial"/>
          <w:sz w:val="24"/>
          <w:szCs w:val="24"/>
          <w:highlight w:val="white"/>
        </w:rPr>
        <w:t>Todo o processo de estudo e análise foi orientado pela coordenadora do curso, professora Rafaela Bohaczuk Venturelli Knop, com o apoio do engenheiro químico do Samae, Ricardo Bortolotto, que compartilhou com os acadêmicos os métodos utilizados pela autarquia, no tratamento dos efluentes e do professor Francisco Odisi.</w:t>
      </w:r>
      <w:r w:rsidR="0039456B" w:rsidRPr="00E41A0E">
        <w:rPr>
          <w:rFonts w:ascii="Arial" w:eastAsia="Times New Roman" w:hAnsi="Arial" w:cs="Arial"/>
          <w:sz w:val="24"/>
          <w:szCs w:val="24"/>
          <w:highlight w:val="white"/>
        </w:rPr>
        <w:t xml:space="preserve"> </w:t>
      </w:r>
    </w:p>
    <w:p w:rsidR="00203F01" w:rsidRDefault="00E90ECA" w:rsidP="00502A2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E41A0E">
        <w:rPr>
          <w:rFonts w:ascii="Arial" w:eastAsia="Times New Roman" w:hAnsi="Arial" w:cs="Arial"/>
          <w:sz w:val="24"/>
          <w:szCs w:val="24"/>
          <w:highlight w:val="white"/>
        </w:rPr>
        <w:t>Índices de coliformes totais e fecais, sólidos totais, turbidez, cromo, alumínio, cloro, ferro total, flúor, manganês, potássio e pH foram analisados pelos estudantes. Cada grupo se aprofundou na pesquisa de três des</w:t>
      </w:r>
      <w:r w:rsidR="0039456B" w:rsidRPr="00E41A0E">
        <w:rPr>
          <w:rFonts w:ascii="Arial" w:eastAsia="Times New Roman" w:hAnsi="Arial" w:cs="Arial"/>
          <w:sz w:val="24"/>
          <w:szCs w:val="24"/>
          <w:highlight w:val="white"/>
        </w:rPr>
        <w:t>s</w:t>
      </w:r>
      <w:r w:rsidRPr="00E41A0E">
        <w:rPr>
          <w:rFonts w:ascii="Arial" w:eastAsia="Times New Roman" w:hAnsi="Arial" w:cs="Arial"/>
          <w:sz w:val="24"/>
          <w:szCs w:val="24"/>
          <w:highlight w:val="white"/>
        </w:rPr>
        <w:t xml:space="preserve">es </w:t>
      </w:r>
    </w:p>
    <w:p w:rsidR="00203F01" w:rsidRPr="00203F01" w:rsidRDefault="00203F01" w:rsidP="00203F01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</w:t>
      </w:r>
      <w:r w:rsidRPr="00E90ECA">
        <w:rPr>
          <w:rFonts w:ascii="Arial" w:eastAsia="Times New Roman" w:hAnsi="Arial" w:cs="Arial"/>
          <w:sz w:val="20"/>
          <w:szCs w:val="20"/>
        </w:rPr>
        <w:t>Análise Da Água Do Rio Itajaí Mirim: Um Relato De Experiência</w:t>
      </w:r>
    </w:p>
    <w:p w:rsidR="0064050B" w:rsidRPr="00E41A0E" w:rsidRDefault="00E90ECA" w:rsidP="00203F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E41A0E">
        <w:rPr>
          <w:rFonts w:ascii="Arial" w:eastAsia="Times New Roman" w:hAnsi="Arial" w:cs="Arial"/>
          <w:sz w:val="24"/>
          <w:szCs w:val="24"/>
          <w:highlight w:val="white"/>
        </w:rPr>
        <w:t>parâmetros. Após as análises, os resultados foram discutidos pelos alunos e encaminhados ao Samae.</w:t>
      </w:r>
      <w:r w:rsidR="00892CE4" w:rsidRPr="00E41A0E">
        <w:rPr>
          <w:rFonts w:ascii="Arial" w:eastAsia="Times New Roman" w:hAnsi="Arial" w:cs="Arial"/>
          <w:sz w:val="24"/>
          <w:szCs w:val="24"/>
          <w:highlight w:val="white"/>
        </w:rPr>
        <w:t xml:space="preserve"> Na Figura 2, os acadêmicos estão analisando a qualidade da água que foi coletada</w:t>
      </w:r>
    </w:p>
    <w:p w:rsidR="0064050B" w:rsidRPr="00E41A0E" w:rsidRDefault="0064050B" w:rsidP="00502A2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39456B" w:rsidP="0039456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4"/>
        </w:rPr>
      </w:pPr>
      <w:r w:rsidRPr="00E41A0E">
        <w:rPr>
          <w:rFonts w:ascii="Arial" w:eastAsia="Times New Roman" w:hAnsi="Arial" w:cs="Arial"/>
          <w:sz w:val="20"/>
          <w:szCs w:val="24"/>
        </w:rPr>
        <w:t>Figura 2</w:t>
      </w:r>
      <w:r w:rsidR="00892CE4" w:rsidRPr="00E41A0E">
        <w:rPr>
          <w:rFonts w:ascii="Arial" w:eastAsia="Times New Roman" w:hAnsi="Arial" w:cs="Arial"/>
          <w:sz w:val="20"/>
          <w:szCs w:val="24"/>
        </w:rPr>
        <w:t xml:space="preserve"> -</w:t>
      </w:r>
      <w:r w:rsidRPr="00E41A0E">
        <w:rPr>
          <w:rFonts w:ascii="Arial" w:eastAsia="Times New Roman" w:hAnsi="Arial" w:cs="Arial"/>
          <w:sz w:val="20"/>
          <w:szCs w:val="24"/>
        </w:rPr>
        <w:t xml:space="preserve"> </w:t>
      </w:r>
      <w:r w:rsidR="00E90ECA" w:rsidRPr="00E41A0E">
        <w:rPr>
          <w:rFonts w:ascii="Arial" w:eastAsia="Times New Roman" w:hAnsi="Arial" w:cs="Arial"/>
          <w:sz w:val="20"/>
          <w:szCs w:val="24"/>
        </w:rPr>
        <w:t xml:space="preserve">Análise da qualidade </w:t>
      </w:r>
      <w:r w:rsidRPr="00E41A0E">
        <w:rPr>
          <w:rFonts w:ascii="Arial" w:eastAsia="Times New Roman" w:hAnsi="Arial" w:cs="Arial"/>
          <w:sz w:val="20"/>
          <w:szCs w:val="24"/>
        </w:rPr>
        <w:t xml:space="preserve">da </w:t>
      </w:r>
      <w:r w:rsidR="00892CE4" w:rsidRPr="00E41A0E">
        <w:rPr>
          <w:rFonts w:ascii="Arial" w:eastAsia="Times New Roman" w:hAnsi="Arial" w:cs="Arial"/>
          <w:sz w:val="20"/>
          <w:szCs w:val="24"/>
        </w:rPr>
        <w:t>á</w:t>
      </w:r>
      <w:r w:rsidRPr="00E41A0E">
        <w:rPr>
          <w:rFonts w:ascii="Arial" w:eastAsia="Times New Roman" w:hAnsi="Arial" w:cs="Arial"/>
          <w:sz w:val="20"/>
          <w:szCs w:val="24"/>
        </w:rPr>
        <w:t>gua realizada por acadêmico</w:t>
      </w:r>
    </w:p>
    <w:p w:rsidR="0064050B" w:rsidRPr="00E41A0E" w:rsidRDefault="00E90ECA" w:rsidP="00AB55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</w:rPr>
      </w:pPr>
      <w:r w:rsidRPr="00E41A0E">
        <w:rPr>
          <w:rFonts w:ascii="Arial" w:hAnsi="Arial" w:cs="Arial"/>
          <w:noProof/>
          <w:sz w:val="18"/>
        </w:rPr>
        <w:drawing>
          <wp:inline distT="0" distB="0" distL="0" distR="0" wp14:anchorId="182463E6" wp14:editId="47191E95">
            <wp:extent cx="4902723" cy="3267790"/>
            <wp:effectExtent l="0" t="0" r="0" b="0"/>
            <wp:docPr id="4" name="image1.jpg" descr="IMG-3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G-3703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2723" cy="3267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4050B" w:rsidRPr="00E41A0E" w:rsidRDefault="00E90ECA" w:rsidP="0039456B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4"/>
        </w:rPr>
      </w:pPr>
      <w:r w:rsidRPr="00E41A0E">
        <w:rPr>
          <w:rFonts w:ascii="Arial" w:eastAsia="Times New Roman" w:hAnsi="Arial" w:cs="Arial"/>
          <w:sz w:val="20"/>
          <w:szCs w:val="24"/>
        </w:rPr>
        <w:t>Fonte: os autores (2021).</w:t>
      </w:r>
    </w:p>
    <w:p w:rsidR="0064050B" w:rsidRPr="00E41A0E" w:rsidRDefault="0064050B" w:rsidP="00D822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C6765" w:rsidRPr="00E41A0E" w:rsidRDefault="00BC6765" w:rsidP="00BC6765">
      <w:pPr>
        <w:widowControl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Assim sendo, as Figuras 1 e 2 apresentaram as coletas e análises que foram desenvolvidos pelos acadêmicos durante o projeto, com a supervisão e orientação de seus respectivos professores.</w:t>
      </w:r>
    </w:p>
    <w:p w:rsidR="003E69BF" w:rsidRPr="00E41A0E" w:rsidRDefault="003E69BF" w:rsidP="003E69BF">
      <w:pPr>
        <w:widowControl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Para a realização do projeto, foram envolvidos docentes, acadêmicos dos cursos e técnicos-administrativos, conforme Tabela 2.</w:t>
      </w:r>
    </w:p>
    <w:p w:rsidR="00D8222D" w:rsidRPr="00E41A0E" w:rsidRDefault="00D8222D" w:rsidP="00D822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95FF2" w:rsidRPr="00E41A0E" w:rsidRDefault="00995FF2" w:rsidP="00D822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95FF2" w:rsidRPr="00E41A0E" w:rsidRDefault="00995FF2" w:rsidP="00D822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90ECA" w:rsidRPr="00E41A0E" w:rsidRDefault="003E69BF" w:rsidP="00BC6765">
      <w:pPr>
        <w:widowControl w:val="0"/>
        <w:spacing w:after="0" w:line="240" w:lineRule="auto"/>
        <w:ind w:firstLine="1560"/>
        <w:jc w:val="both"/>
        <w:rPr>
          <w:rFonts w:ascii="Arial" w:eastAsia="Times New Roman" w:hAnsi="Arial" w:cs="Arial"/>
          <w:sz w:val="20"/>
          <w:szCs w:val="24"/>
        </w:rPr>
      </w:pPr>
      <w:r w:rsidRPr="00E41A0E">
        <w:rPr>
          <w:rFonts w:ascii="Arial" w:eastAsia="Times New Roman" w:hAnsi="Arial" w:cs="Arial"/>
          <w:sz w:val="20"/>
          <w:szCs w:val="24"/>
        </w:rPr>
        <w:t>Tabela</w:t>
      </w:r>
      <w:r w:rsidR="00E90ECA" w:rsidRPr="00E41A0E">
        <w:rPr>
          <w:rFonts w:ascii="Arial" w:eastAsia="Times New Roman" w:hAnsi="Arial" w:cs="Arial"/>
          <w:sz w:val="20"/>
          <w:szCs w:val="24"/>
        </w:rPr>
        <w:t xml:space="preserve"> 2</w:t>
      </w:r>
      <w:r w:rsidR="00995FF2" w:rsidRPr="00E41A0E">
        <w:rPr>
          <w:rFonts w:ascii="Arial" w:eastAsia="Times New Roman" w:hAnsi="Arial" w:cs="Arial"/>
          <w:sz w:val="20"/>
          <w:szCs w:val="24"/>
        </w:rPr>
        <w:t xml:space="preserve"> -</w:t>
      </w:r>
      <w:r w:rsidR="00E90ECA" w:rsidRPr="00E41A0E">
        <w:rPr>
          <w:rFonts w:ascii="Arial" w:eastAsia="Times New Roman" w:hAnsi="Arial" w:cs="Arial"/>
          <w:sz w:val="20"/>
          <w:szCs w:val="24"/>
        </w:rPr>
        <w:t xml:space="preserve"> Números do projeto</w:t>
      </w:r>
    </w:p>
    <w:tbl>
      <w:tblPr>
        <w:tblW w:w="5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1800"/>
      </w:tblGrid>
      <w:tr w:rsidR="00E41A0E" w:rsidRPr="00E41A0E" w:rsidTr="00BC6765">
        <w:trPr>
          <w:trHeight w:val="30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B552C" w:rsidRPr="00E41A0E" w:rsidRDefault="00AB552C" w:rsidP="00AB5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41A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Público atendido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B552C" w:rsidRPr="00E41A0E" w:rsidRDefault="00AB552C" w:rsidP="00AB5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41A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entidade</w:t>
            </w:r>
          </w:p>
        </w:tc>
      </w:tr>
      <w:tr w:rsidR="00E41A0E" w:rsidRPr="00E41A0E" w:rsidTr="00BC6765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2C" w:rsidRPr="00E41A0E" w:rsidRDefault="00AB552C" w:rsidP="00AB55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1A0E">
              <w:rPr>
                <w:rFonts w:ascii="Arial" w:eastAsia="Times New Roman" w:hAnsi="Arial" w:cs="Arial"/>
                <w:sz w:val="24"/>
                <w:szCs w:val="24"/>
              </w:rPr>
              <w:t>Docentes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2C" w:rsidRPr="00E41A0E" w:rsidRDefault="00AB552C" w:rsidP="00995F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1A0E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E41A0E" w:rsidRPr="00E41A0E" w:rsidTr="00BC6765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2C" w:rsidRPr="00E41A0E" w:rsidRDefault="00AB552C" w:rsidP="00AB55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1A0E">
              <w:rPr>
                <w:rFonts w:ascii="Arial" w:eastAsia="Times New Roman" w:hAnsi="Arial" w:cs="Arial"/>
                <w:sz w:val="24"/>
                <w:szCs w:val="24"/>
              </w:rPr>
              <w:t>Acadêmicos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2C" w:rsidRPr="00E41A0E" w:rsidRDefault="00AB552C" w:rsidP="00995F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1A0E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E41A0E" w:rsidRPr="00E41A0E" w:rsidTr="00BC6765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2C" w:rsidRPr="00E41A0E" w:rsidRDefault="00AB552C" w:rsidP="003E69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1A0E">
              <w:rPr>
                <w:rFonts w:ascii="Arial" w:eastAsia="Times New Roman" w:hAnsi="Arial" w:cs="Arial"/>
                <w:sz w:val="24"/>
                <w:szCs w:val="24"/>
              </w:rPr>
              <w:t>Curso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2C" w:rsidRPr="00E41A0E" w:rsidRDefault="00AB552C" w:rsidP="00995F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1A0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E41A0E" w:rsidRPr="00E41A0E" w:rsidTr="00BC6765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2C" w:rsidRPr="00E41A0E" w:rsidRDefault="00AB552C" w:rsidP="00AB55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1A0E">
              <w:rPr>
                <w:rFonts w:ascii="Arial" w:eastAsia="Times New Roman" w:hAnsi="Arial" w:cs="Arial"/>
                <w:sz w:val="24"/>
                <w:szCs w:val="24"/>
              </w:rPr>
              <w:t>Disciplinas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2C" w:rsidRPr="00E41A0E" w:rsidRDefault="00AB552C" w:rsidP="00995F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1A0E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E41A0E" w:rsidRPr="00E41A0E" w:rsidTr="00BC6765">
        <w:trPr>
          <w:trHeight w:val="30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2C" w:rsidRPr="00E41A0E" w:rsidRDefault="00AB552C" w:rsidP="00AB55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41A0E">
              <w:rPr>
                <w:rFonts w:ascii="Arial" w:eastAsia="Times New Roman" w:hAnsi="Arial" w:cs="Arial"/>
                <w:sz w:val="24"/>
                <w:szCs w:val="24"/>
              </w:rPr>
              <w:t>Pessoal técnico-adminstrativo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52C" w:rsidRPr="00E41A0E" w:rsidRDefault="00AB552C" w:rsidP="00995F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1A0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</w:tbl>
    <w:p w:rsidR="00203F01" w:rsidRDefault="00203F01" w:rsidP="00203F01">
      <w:pPr>
        <w:widowControl w:val="0"/>
        <w:spacing w:after="0" w:line="240" w:lineRule="auto"/>
        <w:ind w:firstLine="15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Fonte: os autores (2021)</w:t>
      </w:r>
    </w:p>
    <w:p w:rsidR="00203F01" w:rsidRPr="00E90ECA" w:rsidRDefault="00203F01" w:rsidP="00203F0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</w:t>
      </w:r>
      <w:r w:rsidRPr="00E90ECA">
        <w:rPr>
          <w:rFonts w:ascii="Arial" w:eastAsia="Times New Roman" w:hAnsi="Arial" w:cs="Arial"/>
          <w:sz w:val="20"/>
          <w:szCs w:val="20"/>
        </w:rPr>
        <w:t>Análise Da Água Do Rio Itajaí Mirim: Um Relato De Experiência</w:t>
      </w:r>
    </w:p>
    <w:p w:rsidR="0064050B" w:rsidRPr="00E41A0E" w:rsidRDefault="0064050B" w:rsidP="003E69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E69BF" w:rsidRPr="00E41A0E" w:rsidRDefault="003E69BF" w:rsidP="003E69BF">
      <w:pPr>
        <w:widowControl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Observou-se na Tabela 2 que o projeto teve significativa participação dos acadêmicos e professores.</w:t>
      </w:r>
    </w:p>
    <w:p w:rsidR="003E69BF" w:rsidRPr="00E41A0E" w:rsidRDefault="003E69BF" w:rsidP="003E69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>
      <w:pPr>
        <w:pStyle w:val="Ttulo1"/>
        <w:spacing w:line="240" w:lineRule="auto"/>
        <w:rPr>
          <w:rFonts w:eastAsia="Times New Roman" w:cs="Arial"/>
        </w:rPr>
      </w:pPr>
      <w:r w:rsidRPr="00E41A0E">
        <w:rPr>
          <w:rFonts w:eastAsia="Times New Roman" w:cs="Arial"/>
        </w:rPr>
        <w:t>3 CONSIDERAÇÕES FINAIS</w:t>
      </w:r>
    </w:p>
    <w:p w:rsidR="0064050B" w:rsidRPr="00E41A0E" w:rsidRDefault="0064050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 w:rsidP="00A228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A curricularização da extensão busca estimular a formação cidadã dos estudantes de modo interdisciplinar, político educacional, cultural, científico e tecnológico, articulando ensino, extensão e pesquisa. O intuito é promover intervenções, por meio de projetos, programas, cursos e oficinas, eventos e prestação de serviços, que envolvam diretamente o estudante com a comunidade externa, conforme o Art. 8º da Resolução n°</w:t>
      </w:r>
      <w:r w:rsidR="00344318" w:rsidRPr="00E41A0E">
        <w:rPr>
          <w:rFonts w:ascii="Arial" w:eastAsia="Times New Roman" w:hAnsi="Arial" w:cs="Arial"/>
          <w:sz w:val="24"/>
          <w:szCs w:val="24"/>
        </w:rPr>
        <w:t xml:space="preserve"> </w:t>
      </w:r>
      <w:r w:rsidRPr="00E41A0E">
        <w:rPr>
          <w:rFonts w:ascii="Arial" w:eastAsia="Times New Roman" w:hAnsi="Arial" w:cs="Arial"/>
          <w:sz w:val="24"/>
          <w:szCs w:val="24"/>
        </w:rPr>
        <w:t>7</w:t>
      </w:r>
      <w:r w:rsidR="00344318" w:rsidRPr="00E41A0E">
        <w:rPr>
          <w:rFonts w:ascii="Arial" w:eastAsia="Times New Roman" w:hAnsi="Arial" w:cs="Arial"/>
          <w:sz w:val="24"/>
          <w:szCs w:val="24"/>
        </w:rPr>
        <w:t xml:space="preserve"> (BRASIL, 2018)</w:t>
      </w:r>
      <w:r w:rsidRPr="00E41A0E">
        <w:rPr>
          <w:rFonts w:ascii="Arial" w:eastAsia="Times New Roman" w:hAnsi="Arial" w:cs="Arial"/>
          <w:sz w:val="24"/>
          <w:szCs w:val="24"/>
        </w:rPr>
        <w:t>. Essas ações precisam estar vinculadas à formação do aluno e devem viabilizar um diálogo construtivo e transformador entre a universidade e a sociedade.</w:t>
      </w:r>
    </w:p>
    <w:p w:rsidR="00344318" w:rsidRPr="00E41A0E" w:rsidRDefault="00E90ECA" w:rsidP="00A228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 xml:space="preserve">A interdisciplinaridade é permeada pela transversalidade de temas que buscam o compromisso social da extensão, </w:t>
      </w:r>
      <w:r w:rsidR="00344318" w:rsidRPr="00E41A0E">
        <w:rPr>
          <w:rFonts w:ascii="Arial" w:eastAsia="Times New Roman" w:hAnsi="Arial" w:cs="Arial"/>
          <w:sz w:val="24"/>
          <w:szCs w:val="24"/>
        </w:rPr>
        <w:t>que de acordo com o item III do Art. 6º da Resolução, a</w:t>
      </w:r>
    </w:p>
    <w:p w:rsidR="00344318" w:rsidRPr="00E41A0E" w:rsidRDefault="00344318" w:rsidP="00A228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 w:rsidP="003443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</w:rPr>
      </w:pPr>
      <w:r w:rsidRPr="00E41A0E">
        <w:rPr>
          <w:rFonts w:ascii="Arial" w:eastAsia="Times New Roman" w:hAnsi="Arial" w:cs="Arial"/>
          <w:sz w:val="20"/>
          <w:szCs w:val="20"/>
        </w:rPr>
        <w:t>promoção de iniciativas que expressam o compromisso social das instituições de ensino superior com todas as áreas, em especial, as de comunicação, cultura, direitos humanos e justiça, educação, meio ambiente, saúde, tecnologia e produção, e trabalho, em consonância com as políticas ligadas às diretrizes para a educação ambiental, educação étnico-racial, direit</w:t>
      </w:r>
      <w:r w:rsidR="00344318" w:rsidRPr="00E41A0E">
        <w:rPr>
          <w:rFonts w:ascii="Arial" w:eastAsia="Times New Roman" w:hAnsi="Arial" w:cs="Arial"/>
          <w:sz w:val="20"/>
          <w:szCs w:val="20"/>
        </w:rPr>
        <w:t xml:space="preserve">os humanos e educação indígena (BRASIL, 1998, p. </w:t>
      </w:r>
      <w:r w:rsidR="00DC5C81" w:rsidRPr="00E41A0E">
        <w:rPr>
          <w:rFonts w:ascii="Arial" w:eastAsia="Times New Roman" w:hAnsi="Arial" w:cs="Arial"/>
          <w:sz w:val="20"/>
          <w:szCs w:val="20"/>
        </w:rPr>
        <w:t>2</w:t>
      </w:r>
      <w:r w:rsidR="00344318" w:rsidRPr="00E41A0E">
        <w:rPr>
          <w:rFonts w:ascii="Arial" w:eastAsia="Times New Roman" w:hAnsi="Arial" w:cs="Arial"/>
          <w:sz w:val="20"/>
          <w:szCs w:val="20"/>
        </w:rPr>
        <w:t>).</w:t>
      </w:r>
    </w:p>
    <w:p w:rsidR="00344318" w:rsidRPr="00E41A0E" w:rsidRDefault="00344318" w:rsidP="00A228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DC5C81" w:rsidP="00A228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Dess</w:t>
      </w:r>
      <w:r w:rsidR="00E90ECA" w:rsidRPr="00E41A0E">
        <w:rPr>
          <w:rFonts w:ascii="Arial" w:eastAsia="Times New Roman" w:hAnsi="Arial" w:cs="Arial"/>
          <w:sz w:val="24"/>
          <w:szCs w:val="24"/>
        </w:rPr>
        <w:t>a forma, a temática do projeto vem ao encontro do item II do Art. 5º da mesma Resolução, que determina a interdisciplinaridade e o contexto social da extensão universitária</w:t>
      </w:r>
      <w:r w:rsidRPr="00E41A0E">
        <w:rPr>
          <w:rFonts w:ascii="Arial" w:eastAsia="Times New Roman" w:hAnsi="Arial" w:cs="Arial"/>
          <w:sz w:val="24"/>
          <w:szCs w:val="24"/>
        </w:rPr>
        <w:t xml:space="preserve"> de</w:t>
      </w:r>
      <w:r w:rsidR="00E90ECA" w:rsidRPr="00E41A0E">
        <w:rPr>
          <w:rFonts w:ascii="Arial" w:eastAsia="Times New Roman" w:hAnsi="Arial" w:cs="Arial"/>
          <w:sz w:val="24"/>
          <w:szCs w:val="24"/>
        </w:rPr>
        <w:t xml:space="preserve"> “formação cidadã dos estudantes, marcada e constituída pela vivência dos seus conhecimentos, que, de modo interprofissional e interdisciplinar, seja valorizada e integrada à matriz curricular”</w:t>
      </w:r>
      <w:r w:rsidRPr="00E41A0E">
        <w:rPr>
          <w:rFonts w:ascii="Arial" w:eastAsia="Times New Roman" w:hAnsi="Arial" w:cs="Arial"/>
          <w:sz w:val="24"/>
          <w:szCs w:val="24"/>
        </w:rPr>
        <w:t xml:space="preserve"> (BRASIL, 2018, p. 2)</w:t>
      </w:r>
      <w:r w:rsidR="00E90ECA" w:rsidRPr="00E41A0E">
        <w:rPr>
          <w:rFonts w:ascii="Arial" w:eastAsia="Times New Roman" w:hAnsi="Arial" w:cs="Arial"/>
          <w:sz w:val="24"/>
          <w:szCs w:val="24"/>
        </w:rPr>
        <w:t xml:space="preserve">. Os temas trabalhados na extensão universitária se relacionam com todos os setores, de forma transversal e devem permear todo o processo para fundamentar o conhecimento, promovendo uma formação além de técnica e científica, também humanística. </w:t>
      </w:r>
      <w:r w:rsidRPr="00E41A0E">
        <w:rPr>
          <w:rFonts w:ascii="Arial" w:eastAsia="Times New Roman" w:hAnsi="Arial" w:cs="Arial"/>
          <w:sz w:val="24"/>
          <w:szCs w:val="24"/>
        </w:rPr>
        <w:t>Ness</w:t>
      </w:r>
      <w:r w:rsidR="00E90ECA" w:rsidRPr="00E41A0E">
        <w:rPr>
          <w:rFonts w:ascii="Arial" w:eastAsia="Times New Roman" w:hAnsi="Arial" w:cs="Arial"/>
          <w:sz w:val="24"/>
          <w:szCs w:val="24"/>
        </w:rPr>
        <w:t xml:space="preserve">e sentido, o projeto promoveu a reflexão acerca das muitas tecnologias que foram criadas para ajudar e adaptar a vida do ser humano. </w:t>
      </w:r>
    </w:p>
    <w:p w:rsidR="0064050B" w:rsidRDefault="00203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203F01">
        <w:rPr>
          <w:rFonts w:ascii="Arial" w:eastAsia="Times New Roman" w:hAnsi="Arial" w:cs="Arial"/>
          <w:sz w:val="20"/>
          <w:szCs w:val="20"/>
        </w:rPr>
        <w:t>Análise Da Água Do Rio Itajaí Mirim: Um Relato De Experiência</w:t>
      </w:r>
    </w:p>
    <w:p w:rsidR="00203F01" w:rsidRPr="00203F01" w:rsidRDefault="00203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a3"/>
        <w:tblW w:w="8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96"/>
      </w:tblGrid>
      <w:tr w:rsidR="00E41A0E" w:rsidRPr="00E41A0E" w:rsidTr="00AB552C">
        <w:trPr>
          <w:trHeight w:val="214"/>
        </w:trPr>
        <w:tc>
          <w:tcPr>
            <w:tcW w:w="8596" w:type="dxa"/>
            <w:shd w:val="clear" w:color="auto" w:fill="F2F2F2"/>
          </w:tcPr>
          <w:p w:rsidR="0064050B" w:rsidRPr="00E41A0E" w:rsidRDefault="00E90E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Relatos dos participantes envolvidos</w:t>
            </w:r>
          </w:p>
        </w:tc>
      </w:tr>
      <w:tr w:rsidR="00E41A0E" w:rsidRPr="00E41A0E" w:rsidTr="00AB552C">
        <w:trPr>
          <w:trHeight w:val="870"/>
        </w:trPr>
        <w:tc>
          <w:tcPr>
            <w:tcW w:w="8596" w:type="dxa"/>
          </w:tcPr>
          <w:p w:rsidR="0064050B" w:rsidRPr="00E41A0E" w:rsidRDefault="00E90ECA" w:rsidP="002E68A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 xml:space="preserve">“Essa interação com o Samae foi um momento enriquecedor para os alunos, pois mostra que a Engenharia Química tem uma forte ligação com uma sociedade altamente industrializada como a nossa. O profissional que busca estar sempre atualizado estará bem posicionado no mercado de trabalho”. RBVK, Coordenadora do curso de Engenharia </w:t>
            </w:r>
            <w:r w:rsidR="002E68AF" w:rsidRPr="00E41A0E">
              <w:rPr>
                <w:rFonts w:ascii="Arial" w:eastAsia="Times New Roman" w:hAnsi="Arial" w:cs="Arial"/>
                <w:sz w:val="20"/>
                <w:szCs w:val="20"/>
              </w:rPr>
              <w:t>Q</w:t>
            </w: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uímica.</w:t>
            </w:r>
          </w:p>
        </w:tc>
      </w:tr>
      <w:tr w:rsidR="00E41A0E" w:rsidRPr="00E41A0E" w:rsidTr="00AB552C">
        <w:trPr>
          <w:trHeight w:val="870"/>
        </w:trPr>
        <w:tc>
          <w:tcPr>
            <w:tcW w:w="8596" w:type="dxa"/>
          </w:tcPr>
          <w:p w:rsidR="0064050B" w:rsidRPr="00E41A0E" w:rsidRDefault="00E90ECA" w:rsidP="002E68A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 xml:space="preserve">“Creio que foi um grande aprendizado sobre os procedimentos de análises e também de como produzir pesquisa. Os resultados mostraram como a urbanização afeta a qualidade da água no decorrer do trajeto e que são necessárias ações mais efetivas para preservar nossos rios”. RB, </w:t>
            </w:r>
            <w:r w:rsidR="002E68AF" w:rsidRPr="00E41A0E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E41A0E">
              <w:rPr>
                <w:rFonts w:ascii="Arial" w:eastAsia="Times New Roman" w:hAnsi="Arial" w:cs="Arial"/>
                <w:sz w:val="20"/>
                <w:szCs w:val="20"/>
              </w:rPr>
              <w:t xml:space="preserve">ngenheiro </w:t>
            </w:r>
            <w:r w:rsidR="002E68AF" w:rsidRPr="00E41A0E">
              <w:rPr>
                <w:rFonts w:ascii="Arial" w:eastAsia="Times New Roman" w:hAnsi="Arial" w:cs="Arial"/>
                <w:sz w:val="20"/>
                <w:szCs w:val="20"/>
              </w:rPr>
              <w:t>Q</w:t>
            </w: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uímico do Samae.</w:t>
            </w:r>
          </w:p>
        </w:tc>
      </w:tr>
      <w:tr w:rsidR="0064050B" w:rsidRPr="00E41A0E" w:rsidTr="00AB552C">
        <w:trPr>
          <w:trHeight w:val="642"/>
        </w:trPr>
        <w:tc>
          <w:tcPr>
            <w:tcW w:w="8596" w:type="dxa"/>
          </w:tcPr>
          <w:p w:rsidR="0064050B" w:rsidRPr="00E41A0E" w:rsidRDefault="00E90ECA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41A0E">
              <w:rPr>
                <w:rFonts w:ascii="Arial" w:eastAsia="Times New Roman" w:hAnsi="Arial" w:cs="Arial"/>
                <w:sz w:val="20"/>
                <w:szCs w:val="20"/>
              </w:rPr>
              <w:t>“Vivenciamos como é feita a análise para comprovação da qualidade da água. Toda a metodologia aplicada no projeto foi muito importante para nosso aprendizado e fundamental na preparação para o mercado de trabalh</w:t>
            </w:r>
            <w:r w:rsidR="002E68AF" w:rsidRPr="00E41A0E">
              <w:rPr>
                <w:rFonts w:ascii="Arial" w:eastAsia="Times New Roman" w:hAnsi="Arial" w:cs="Arial"/>
                <w:sz w:val="20"/>
                <w:szCs w:val="20"/>
              </w:rPr>
              <w:t>o”. MVF, acadêmico do curso de Engenharia Q</w:t>
            </w:r>
            <w:r w:rsidRPr="00E41A0E">
              <w:rPr>
                <w:rFonts w:ascii="Arial" w:eastAsia="Times New Roman" w:hAnsi="Arial" w:cs="Arial"/>
                <w:sz w:val="20"/>
                <w:szCs w:val="20"/>
              </w:rPr>
              <w:t xml:space="preserve">uímica. </w:t>
            </w:r>
          </w:p>
        </w:tc>
      </w:tr>
    </w:tbl>
    <w:p w:rsidR="0064050B" w:rsidRPr="00E41A0E" w:rsidRDefault="0064050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>
      <w:pPr>
        <w:pStyle w:val="Ttulo1"/>
        <w:spacing w:line="240" w:lineRule="auto"/>
        <w:jc w:val="center"/>
        <w:rPr>
          <w:rFonts w:eastAsia="Times New Roman" w:cs="Arial"/>
        </w:rPr>
      </w:pPr>
      <w:r w:rsidRPr="00E41A0E">
        <w:rPr>
          <w:rFonts w:eastAsia="Times New Roman" w:cs="Arial"/>
        </w:rPr>
        <w:t>REFERÊNCIAS</w:t>
      </w:r>
    </w:p>
    <w:p w:rsidR="0064050B" w:rsidRPr="00E41A0E" w:rsidRDefault="0064050B">
      <w:pPr>
        <w:spacing w:after="0"/>
        <w:rPr>
          <w:rFonts w:ascii="Arial" w:hAnsi="Arial" w:cs="Arial"/>
        </w:rPr>
      </w:pPr>
    </w:p>
    <w:p w:rsidR="0064050B" w:rsidRPr="00E41A0E" w:rsidRDefault="00E90ECA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BRAGA, F</w:t>
      </w:r>
      <w:r w:rsidR="00185637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P. </w:t>
      </w:r>
      <w:r w:rsidRPr="00E41A0E">
        <w:rPr>
          <w:rFonts w:ascii="Arial" w:eastAsia="Times New Roman" w:hAnsi="Arial" w:cs="Arial"/>
          <w:b/>
          <w:sz w:val="24"/>
          <w:szCs w:val="24"/>
        </w:rPr>
        <w:t>Avaliação do desempenho de uma estação de tratamento de água do município de Juiz de Fora–MG.</w:t>
      </w:r>
      <w:r w:rsidRPr="00E41A0E">
        <w:rPr>
          <w:rFonts w:ascii="Arial" w:eastAsia="Times New Roman" w:hAnsi="Arial" w:cs="Arial"/>
          <w:sz w:val="24"/>
          <w:szCs w:val="24"/>
        </w:rPr>
        <w:t xml:space="preserve"> Trabalho de </w:t>
      </w:r>
      <w:r w:rsidR="00185637" w:rsidRPr="00E41A0E">
        <w:rPr>
          <w:rFonts w:ascii="Arial" w:eastAsia="Times New Roman" w:hAnsi="Arial" w:cs="Arial"/>
          <w:sz w:val="24"/>
          <w:szCs w:val="24"/>
        </w:rPr>
        <w:t>C</w:t>
      </w:r>
      <w:r w:rsidRPr="00E41A0E">
        <w:rPr>
          <w:rFonts w:ascii="Arial" w:eastAsia="Times New Roman" w:hAnsi="Arial" w:cs="Arial"/>
          <w:sz w:val="24"/>
          <w:szCs w:val="24"/>
        </w:rPr>
        <w:t>onclusão de Curso</w:t>
      </w:r>
      <w:r w:rsidR="00185637" w:rsidRPr="00E41A0E">
        <w:rPr>
          <w:rFonts w:ascii="Arial" w:eastAsia="Times New Roman" w:hAnsi="Arial" w:cs="Arial"/>
          <w:sz w:val="24"/>
          <w:szCs w:val="24"/>
        </w:rPr>
        <w:t xml:space="preserve"> – (Curso de Engenharia Sanitária e Ambiental) - </w:t>
      </w:r>
      <w:r w:rsidRPr="00E41A0E">
        <w:rPr>
          <w:rFonts w:ascii="Arial" w:eastAsia="Times New Roman" w:hAnsi="Arial" w:cs="Arial"/>
          <w:sz w:val="24"/>
          <w:szCs w:val="24"/>
        </w:rPr>
        <w:t xml:space="preserve">Universidade Federal de </w:t>
      </w:r>
      <w:r w:rsidR="00185637" w:rsidRPr="00E41A0E">
        <w:rPr>
          <w:rFonts w:ascii="Arial" w:eastAsia="Times New Roman" w:hAnsi="Arial" w:cs="Arial"/>
          <w:sz w:val="24"/>
          <w:szCs w:val="24"/>
        </w:rPr>
        <w:t>J</w:t>
      </w:r>
      <w:r w:rsidRPr="00E41A0E">
        <w:rPr>
          <w:rFonts w:ascii="Arial" w:eastAsia="Times New Roman" w:hAnsi="Arial" w:cs="Arial"/>
          <w:sz w:val="24"/>
          <w:szCs w:val="24"/>
        </w:rPr>
        <w:t xml:space="preserve">uiz de Fora, </w:t>
      </w:r>
      <w:r w:rsidR="00185637" w:rsidRPr="00E41A0E">
        <w:rPr>
          <w:rFonts w:ascii="Arial" w:eastAsia="Times New Roman" w:hAnsi="Arial" w:cs="Arial"/>
          <w:sz w:val="24"/>
          <w:szCs w:val="24"/>
        </w:rPr>
        <w:t xml:space="preserve">Juiz de Fora, </w:t>
      </w:r>
      <w:r w:rsidRPr="00E41A0E">
        <w:rPr>
          <w:rFonts w:ascii="Arial" w:eastAsia="Times New Roman" w:hAnsi="Arial" w:cs="Arial"/>
          <w:sz w:val="24"/>
          <w:szCs w:val="24"/>
        </w:rPr>
        <w:t>2014.</w:t>
      </w:r>
      <w:r w:rsidR="00185637" w:rsidRPr="00E41A0E">
        <w:rPr>
          <w:rFonts w:ascii="Arial" w:eastAsia="Times New Roman" w:hAnsi="Arial" w:cs="Arial"/>
          <w:sz w:val="24"/>
          <w:szCs w:val="24"/>
        </w:rPr>
        <w:t xml:space="preserve"> Disponível em: https://www2.ufjf.br/engsanitariaeambiental//files/2014/02/TFC-Fernando-Pinto-Braga-2014.pdf. Acesso em 23 out. 2021.</w:t>
      </w:r>
    </w:p>
    <w:p w:rsidR="00632281" w:rsidRPr="00E41A0E" w:rsidRDefault="00632281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2281" w:rsidRPr="00E41A0E" w:rsidRDefault="00632281" w:rsidP="00344318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 xml:space="preserve">BRASIL. Ministério da Educação. Conselho Nacional de Educação. Câmara de Educação Superior. </w:t>
      </w:r>
      <w:r w:rsidRPr="00E41A0E">
        <w:rPr>
          <w:rFonts w:ascii="Arial" w:eastAsia="Times New Roman" w:hAnsi="Arial" w:cs="Arial"/>
          <w:b/>
          <w:sz w:val="24"/>
          <w:szCs w:val="24"/>
        </w:rPr>
        <w:t>Resolução nº 7, de 18 de dezembro de 2018.</w:t>
      </w:r>
      <w:r w:rsidRPr="00E41A0E">
        <w:rPr>
          <w:rFonts w:ascii="Arial" w:eastAsia="Times New Roman" w:hAnsi="Arial" w:cs="Arial"/>
          <w:sz w:val="24"/>
          <w:szCs w:val="24"/>
        </w:rPr>
        <w:t xml:space="preserve"> Estabelece as diretrizes para a extensão na educação superior brasileira e regimenta o disposto na Meta 12.7 da Lei nº 13.005/2014, que aprova o Plano Nacional de Educação – PNE 2014 – 2024 e dá outras providências. Disponível em: https://normativasconselhos.mec.gov.br/normativa/pdf/CNE_RES_CNECESN72018.pdf. Acesso em: 23 out. 2021.</w:t>
      </w:r>
    </w:p>
    <w:p w:rsidR="00632281" w:rsidRPr="00E41A0E" w:rsidRDefault="00632281" w:rsidP="00344318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2281" w:rsidRPr="00E41A0E" w:rsidRDefault="00632281" w:rsidP="00632281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BRASIL. Ministério da Saúde. Portaria, 2914. 12 dez. 2011. Disponível em: https://bvsms.saude.gov.br/bvs/saudelegis/gm/2011/prt2914_12_12_2011.html. Acesso em: 27 abr. 2021.</w:t>
      </w:r>
    </w:p>
    <w:p w:rsidR="00632281" w:rsidRPr="00E41A0E" w:rsidRDefault="00632281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 xml:space="preserve">BRASIL. Ministério da Saúde. </w:t>
      </w:r>
      <w:r w:rsidRPr="00E41A0E">
        <w:rPr>
          <w:rFonts w:ascii="Arial" w:eastAsia="Times New Roman" w:hAnsi="Arial" w:cs="Arial"/>
          <w:b/>
          <w:sz w:val="24"/>
          <w:szCs w:val="24"/>
        </w:rPr>
        <w:t xml:space="preserve">Vigilância e controle da qualidade da água para consumo humano. </w:t>
      </w:r>
      <w:r w:rsidRPr="00E41A0E">
        <w:rPr>
          <w:rFonts w:ascii="Arial" w:eastAsia="Times New Roman" w:hAnsi="Arial" w:cs="Arial"/>
          <w:sz w:val="24"/>
          <w:szCs w:val="24"/>
        </w:rPr>
        <w:t>Brasília: Ministério da Saúde, 2006.</w:t>
      </w:r>
    </w:p>
    <w:p w:rsidR="00632281" w:rsidRPr="00E41A0E" w:rsidRDefault="00632281" w:rsidP="00185637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 xml:space="preserve">BRASIL. Ministério do Meio Ambiente. Conselho Nacional do Meio Ambiente. </w:t>
      </w:r>
      <w:r w:rsidRPr="00E41A0E">
        <w:rPr>
          <w:rFonts w:ascii="Arial" w:eastAsia="Times New Roman" w:hAnsi="Arial" w:cs="Arial"/>
          <w:b/>
          <w:sz w:val="24"/>
          <w:szCs w:val="24"/>
        </w:rPr>
        <w:t>Resolução, 357</w:t>
      </w:r>
      <w:r w:rsidRPr="00E41A0E">
        <w:rPr>
          <w:rFonts w:ascii="Arial" w:eastAsia="Times New Roman" w:hAnsi="Arial" w:cs="Arial"/>
          <w:sz w:val="24"/>
          <w:szCs w:val="24"/>
        </w:rPr>
        <w:t>. 17 mar. 2005. Disponível em: http://www2.mma.gov.br/port/conama/legiabre.cfm?codlegi=459. Acesso em: 27 abr. 2021.</w:t>
      </w:r>
    </w:p>
    <w:p w:rsidR="00185637" w:rsidRPr="00E41A0E" w:rsidRDefault="00185637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 xml:space="preserve">CHARRIERE, G. </w:t>
      </w:r>
      <w:r w:rsidRPr="00E41A0E">
        <w:rPr>
          <w:rFonts w:ascii="Arial" w:eastAsia="Times New Roman" w:hAnsi="Arial" w:cs="Arial"/>
          <w:i/>
          <w:sz w:val="24"/>
          <w:szCs w:val="24"/>
        </w:rPr>
        <w:t>et al</w:t>
      </w:r>
      <w:r w:rsidRPr="00E41A0E">
        <w:rPr>
          <w:rFonts w:ascii="Arial" w:eastAsia="Times New Roman" w:hAnsi="Arial" w:cs="Arial"/>
          <w:sz w:val="24"/>
          <w:szCs w:val="24"/>
        </w:rPr>
        <w:t xml:space="preserve">. Assessment of the marker value of various components of the coliaerogenes group of </w:t>
      </w:r>
      <w:r w:rsidR="00185637" w:rsidRPr="00E41A0E">
        <w:rPr>
          <w:rFonts w:ascii="Arial" w:eastAsia="Times New Roman" w:hAnsi="Arial" w:cs="Arial"/>
          <w:sz w:val="24"/>
          <w:szCs w:val="24"/>
        </w:rPr>
        <w:t>e</w:t>
      </w:r>
      <w:r w:rsidRPr="00E41A0E">
        <w:rPr>
          <w:rFonts w:ascii="Arial" w:eastAsia="Times New Roman" w:hAnsi="Arial" w:cs="Arial"/>
          <w:sz w:val="24"/>
          <w:szCs w:val="24"/>
        </w:rPr>
        <w:t xml:space="preserve">nterobacteriaceae and of a selection of </w:t>
      </w:r>
      <w:r w:rsidR="00185637" w:rsidRPr="00E41A0E">
        <w:rPr>
          <w:rFonts w:ascii="Arial" w:eastAsia="Times New Roman" w:hAnsi="Arial" w:cs="Arial"/>
          <w:sz w:val="24"/>
          <w:szCs w:val="24"/>
        </w:rPr>
        <w:t>e</w:t>
      </w:r>
      <w:r w:rsidRPr="00E41A0E">
        <w:rPr>
          <w:rFonts w:ascii="Arial" w:eastAsia="Times New Roman" w:hAnsi="Arial" w:cs="Arial"/>
          <w:sz w:val="24"/>
          <w:szCs w:val="24"/>
        </w:rPr>
        <w:t xml:space="preserve">nterococcus spp. for the official monitoring of drinking water supplies. </w:t>
      </w:r>
      <w:r w:rsidRPr="00E41A0E">
        <w:rPr>
          <w:rFonts w:ascii="Arial" w:eastAsia="Times New Roman" w:hAnsi="Arial" w:cs="Arial"/>
          <w:b/>
          <w:sz w:val="24"/>
          <w:szCs w:val="24"/>
        </w:rPr>
        <w:t>Journal of Applied Bacteriology,</w:t>
      </w:r>
      <w:r w:rsidRPr="00E41A0E">
        <w:rPr>
          <w:rFonts w:ascii="Arial" w:eastAsia="Times New Roman" w:hAnsi="Arial" w:cs="Arial"/>
          <w:sz w:val="24"/>
          <w:szCs w:val="24"/>
        </w:rPr>
        <w:t xml:space="preserve"> v. 76, n. 4, p. 336-344, 1994.</w:t>
      </w:r>
    </w:p>
    <w:p w:rsidR="0064050B" w:rsidRPr="00E41A0E" w:rsidRDefault="0064050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D'AGUILA, P</w:t>
      </w:r>
      <w:r w:rsidR="00185637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S</w:t>
      </w:r>
      <w:r w:rsidR="00185637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</w:t>
      </w:r>
      <w:r w:rsidRPr="00E41A0E">
        <w:rPr>
          <w:rFonts w:ascii="Arial" w:eastAsia="Times New Roman" w:hAnsi="Arial" w:cs="Arial"/>
          <w:i/>
          <w:sz w:val="24"/>
          <w:szCs w:val="24"/>
        </w:rPr>
        <w:t>et al</w:t>
      </w:r>
      <w:r w:rsidRPr="00E41A0E">
        <w:rPr>
          <w:rFonts w:ascii="Arial" w:eastAsia="Times New Roman" w:hAnsi="Arial" w:cs="Arial"/>
          <w:sz w:val="24"/>
          <w:szCs w:val="24"/>
        </w:rPr>
        <w:t xml:space="preserve">. Avaliação da qualidade de água para abastecimento público do Município de Nova Iguaçu. </w:t>
      </w:r>
      <w:r w:rsidRPr="00E41A0E">
        <w:rPr>
          <w:rFonts w:ascii="Arial" w:eastAsia="Times New Roman" w:hAnsi="Arial" w:cs="Arial"/>
          <w:b/>
          <w:sz w:val="24"/>
          <w:szCs w:val="24"/>
        </w:rPr>
        <w:t>Cadernos de Saúde Pública,</w:t>
      </w:r>
      <w:r w:rsidRPr="00E41A0E">
        <w:rPr>
          <w:rFonts w:ascii="Arial" w:eastAsia="Times New Roman" w:hAnsi="Arial" w:cs="Arial"/>
          <w:sz w:val="24"/>
          <w:szCs w:val="24"/>
        </w:rPr>
        <w:t xml:space="preserve"> v. 16, p. 791-798, 2000.</w:t>
      </w:r>
    </w:p>
    <w:p w:rsidR="0064050B" w:rsidRPr="00E41A0E" w:rsidRDefault="0064050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03F01" w:rsidRDefault="00203F01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03F01" w:rsidRDefault="00203F01" w:rsidP="00203F01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203F01" w:rsidRPr="00E90ECA" w:rsidRDefault="00203F01" w:rsidP="00203F01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</w:t>
      </w:r>
      <w:r w:rsidRPr="00E90ECA">
        <w:rPr>
          <w:rFonts w:ascii="Arial" w:eastAsia="Times New Roman" w:hAnsi="Arial" w:cs="Arial"/>
          <w:sz w:val="20"/>
          <w:szCs w:val="20"/>
        </w:rPr>
        <w:t>Análise Da Água Do Rio Itajaí Mirim: Um Relato De Experiência</w:t>
      </w:r>
    </w:p>
    <w:p w:rsidR="00203F01" w:rsidRDefault="00203F01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GOUVEA, H</w:t>
      </w:r>
      <w:r w:rsidR="00185637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A</w:t>
      </w:r>
      <w:r w:rsidR="00185637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C</w:t>
      </w:r>
      <w:r w:rsidR="00185637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</w:t>
      </w:r>
      <w:r w:rsidRPr="00E41A0E">
        <w:rPr>
          <w:rFonts w:ascii="Arial" w:eastAsia="Times New Roman" w:hAnsi="Arial" w:cs="Arial"/>
          <w:i/>
          <w:sz w:val="24"/>
          <w:szCs w:val="24"/>
        </w:rPr>
        <w:t>et al</w:t>
      </w:r>
      <w:r w:rsidRPr="00E41A0E">
        <w:rPr>
          <w:rFonts w:ascii="Arial" w:eastAsia="Times New Roman" w:hAnsi="Arial" w:cs="Arial"/>
          <w:sz w:val="24"/>
          <w:szCs w:val="24"/>
        </w:rPr>
        <w:t>. A relevância do tema água no ensino de ciências. Revista Monografias Ambientais, v. 14, p. 157-171, 2015.</w:t>
      </w:r>
    </w:p>
    <w:p w:rsidR="0064050B" w:rsidRPr="00E41A0E" w:rsidRDefault="0064050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LUCAS, A</w:t>
      </w:r>
      <w:r w:rsidR="00185637" w:rsidRPr="00E41A0E">
        <w:rPr>
          <w:rFonts w:ascii="Arial" w:eastAsia="Times New Roman" w:hAnsi="Arial" w:cs="Arial"/>
          <w:sz w:val="24"/>
          <w:szCs w:val="24"/>
        </w:rPr>
        <w:t xml:space="preserve">. </w:t>
      </w:r>
      <w:r w:rsidRPr="00E41A0E">
        <w:rPr>
          <w:rFonts w:ascii="Arial" w:eastAsia="Times New Roman" w:hAnsi="Arial" w:cs="Arial"/>
          <w:sz w:val="24"/>
          <w:szCs w:val="24"/>
        </w:rPr>
        <w:t>A</w:t>
      </w:r>
      <w:r w:rsidR="00185637" w:rsidRPr="00E41A0E">
        <w:rPr>
          <w:rFonts w:ascii="Arial" w:eastAsia="Times New Roman" w:hAnsi="Arial" w:cs="Arial"/>
          <w:sz w:val="24"/>
          <w:szCs w:val="24"/>
        </w:rPr>
        <w:t xml:space="preserve">. </w:t>
      </w:r>
      <w:r w:rsidRPr="00E41A0E">
        <w:rPr>
          <w:rFonts w:ascii="Arial" w:eastAsia="Times New Roman" w:hAnsi="Arial" w:cs="Arial"/>
          <w:sz w:val="24"/>
          <w:szCs w:val="24"/>
        </w:rPr>
        <w:t>T</w:t>
      </w:r>
      <w:r w:rsidR="00185637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>; FOLEGATTI, M</w:t>
      </w:r>
      <w:r w:rsidR="00185637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V.; DUARTE, S</w:t>
      </w:r>
      <w:r w:rsidR="00185637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N. Qualidade da água em uma microbacia hidrográfica do Rio Piracicaba, SP. </w:t>
      </w:r>
      <w:r w:rsidRPr="00E41A0E">
        <w:rPr>
          <w:rFonts w:ascii="Arial" w:eastAsia="Times New Roman" w:hAnsi="Arial" w:cs="Arial"/>
          <w:b/>
          <w:sz w:val="24"/>
          <w:szCs w:val="24"/>
        </w:rPr>
        <w:t>Revista Brasileira de Engenharia Agrícola e Ambiental,</w:t>
      </w:r>
      <w:r w:rsidRPr="00E41A0E">
        <w:rPr>
          <w:rFonts w:ascii="Arial" w:eastAsia="Times New Roman" w:hAnsi="Arial" w:cs="Arial"/>
          <w:sz w:val="24"/>
          <w:szCs w:val="24"/>
        </w:rPr>
        <w:t xml:space="preserve"> v. 14, n. 9, p. 937-943, 2010.</w:t>
      </w:r>
    </w:p>
    <w:p w:rsidR="0064050B" w:rsidRPr="00E41A0E" w:rsidRDefault="0064050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MERTEN, G</w:t>
      </w:r>
      <w:r w:rsidR="00185637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H.; MINELLA, J</w:t>
      </w:r>
      <w:r w:rsidR="00185637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P. Qualidade da água em bacias hidrográficas rurais: um desafio atual para a sobrevivência futura. </w:t>
      </w:r>
      <w:r w:rsidRPr="00E41A0E">
        <w:rPr>
          <w:rFonts w:ascii="Arial" w:eastAsia="Times New Roman" w:hAnsi="Arial" w:cs="Arial"/>
          <w:b/>
          <w:sz w:val="24"/>
          <w:szCs w:val="24"/>
        </w:rPr>
        <w:t xml:space="preserve">Agroecologia e </w:t>
      </w:r>
      <w:r w:rsidR="00185637" w:rsidRPr="00E41A0E">
        <w:rPr>
          <w:rFonts w:ascii="Arial" w:eastAsia="Times New Roman" w:hAnsi="Arial" w:cs="Arial"/>
          <w:b/>
          <w:sz w:val="24"/>
          <w:szCs w:val="24"/>
        </w:rPr>
        <w:t>D</w:t>
      </w:r>
      <w:r w:rsidRPr="00E41A0E">
        <w:rPr>
          <w:rFonts w:ascii="Arial" w:eastAsia="Times New Roman" w:hAnsi="Arial" w:cs="Arial"/>
          <w:b/>
          <w:sz w:val="24"/>
          <w:szCs w:val="24"/>
        </w:rPr>
        <w:t xml:space="preserve">esenvolvimento </w:t>
      </w:r>
      <w:r w:rsidR="00185637" w:rsidRPr="00E41A0E">
        <w:rPr>
          <w:rFonts w:ascii="Arial" w:eastAsia="Times New Roman" w:hAnsi="Arial" w:cs="Arial"/>
          <w:b/>
          <w:sz w:val="24"/>
          <w:szCs w:val="24"/>
        </w:rPr>
        <w:t>Rural S</w:t>
      </w:r>
      <w:r w:rsidRPr="00E41A0E">
        <w:rPr>
          <w:rFonts w:ascii="Arial" w:eastAsia="Times New Roman" w:hAnsi="Arial" w:cs="Arial"/>
          <w:b/>
          <w:sz w:val="24"/>
          <w:szCs w:val="24"/>
        </w:rPr>
        <w:t>ustentável,</w:t>
      </w:r>
      <w:r w:rsidRPr="00E41A0E">
        <w:rPr>
          <w:rFonts w:ascii="Arial" w:eastAsia="Times New Roman" w:hAnsi="Arial" w:cs="Arial"/>
          <w:sz w:val="24"/>
          <w:szCs w:val="24"/>
        </w:rPr>
        <w:t xml:space="preserve"> v. 3, n. 4, p. 33-38, 2002.</w:t>
      </w:r>
    </w:p>
    <w:p w:rsidR="0064050B" w:rsidRPr="00E41A0E" w:rsidRDefault="0064050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MEYER, S</w:t>
      </w:r>
      <w:r w:rsidR="00185637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T. O uso de cloro na desinfecção de águas, a formação de trihalometanos e os riscos potenciais à saúde pública. </w:t>
      </w:r>
      <w:r w:rsidRPr="00E41A0E">
        <w:rPr>
          <w:rFonts w:ascii="Arial" w:eastAsia="Times New Roman" w:hAnsi="Arial" w:cs="Arial"/>
          <w:b/>
          <w:sz w:val="24"/>
          <w:szCs w:val="24"/>
        </w:rPr>
        <w:t>Cadernos de Saúde Pública,</w:t>
      </w:r>
      <w:r w:rsidRPr="00E41A0E">
        <w:rPr>
          <w:rFonts w:ascii="Arial" w:eastAsia="Times New Roman" w:hAnsi="Arial" w:cs="Arial"/>
          <w:sz w:val="24"/>
          <w:szCs w:val="24"/>
        </w:rPr>
        <w:t xml:space="preserve"> v. 10, n. 1, p. 99-110, 1994.</w:t>
      </w:r>
    </w:p>
    <w:p w:rsidR="0064050B" w:rsidRPr="00E41A0E" w:rsidRDefault="0064050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MILLÁN, F</w:t>
      </w:r>
      <w:r w:rsidR="00185637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</w:t>
      </w:r>
      <w:r w:rsidRPr="00E41A0E">
        <w:rPr>
          <w:rFonts w:ascii="Arial" w:eastAsia="Times New Roman" w:hAnsi="Arial" w:cs="Arial"/>
          <w:i/>
          <w:sz w:val="24"/>
          <w:szCs w:val="24"/>
        </w:rPr>
        <w:t>et al</w:t>
      </w:r>
      <w:r w:rsidRPr="00E41A0E">
        <w:rPr>
          <w:rFonts w:ascii="Arial" w:eastAsia="Times New Roman" w:hAnsi="Arial" w:cs="Arial"/>
          <w:sz w:val="24"/>
          <w:szCs w:val="24"/>
        </w:rPr>
        <w:t xml:space="preserve">. Estudio comparativo de la dureza del agua en el estado Mérida y algunas localidades del centro y occidente de Venezuela. </w:t>
      </w:r>
      <w:r w:rsidRPr="00E41A0E">
        <w:rPr>
          <w:rFonts w:ascii="Arial" w:eastAsia="Times New Roman" w:hAnsi="Arial" w:cs="Arial"/>
          <w:b/>
          <w:sz w:val="24"/>
          <w:szCs w:val="24"/>
        </w:rPr>
        <w:t>Ciencia e Ingeniería,</w:t>
      </w:r>
      <w:r w:rsidRPr="00E41A0E">
        <w:rPr>
          <w:rFonts w:ascii="Arial" w:eastAsia="Times New Roman" w:hAnsi="Arial" w:cs="Arial"/>
          <w:sz w:val="24"/>
          <w:szCs w:val="24"/>
        </w:rPr>
        <w:t xml:space="preserve"> v. 24, n. 1, p. 39-46, 2003.</w:t>
      </w:r>
    </w:p>
    <w:p w:rsidR="0064050B" w:rsidRPr="00E41A0E" w:rsidRDefault="0064050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MORAES, D</w:t>
      </w:r>
      <w:r w:rsidR="00632281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S</w:t>
      </w:r>
      <w:r w:rsidR="00632281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de L</w:t>
      </w:r>
      <w:r w:rsidR="00632281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>; JORDÃO, B</w:t>
      </w:r>
      <w:r w:rsidR="00632281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Q. Degradação de recursos hídricos e seus efeitos sobre a saúde humana. </w:t>
      </w:r>
      <w:r w:rsidRPr="00E41A0E">
        <w:rPr>
          <w:rFonts w:ascii="Arial" w:eastAsia="Times New Roman" w:hAnsi="Arial" w:cs="Arial"/>
          <w:b/>
          <w:sz w:val="24"/>
          <w:szCs w:val="24"/>
        </w:rPr>
        <w:t xml:space="preserve">Revista de </w:t>
      </w:r>
      <w:r w:rsidR="00632281" w:rsidRPr="00E41A0E">
        <w:rPr>
          <w:rFonts w:ascii="Arial" w:eastAsia="Times New Roman" w:hAnsi="Arial" w:cs="Arial"/>
          <w:b/>
          <w:sz w:val="24"/>
          <w:szCs w:val="24"/>
        </w:rPr>
        <w:t>S</w:t>
      </w:r>
      <w:r w:rsidRPr="00E41A0E">
        <w:rPr>
          <w:rFonts w:ascii="Arial" w:eastAsia="Times New Roman" w:hAnsi="Arial" w:cs="Arial"/>
          <w:b/>
          <w:sz w:val="24"/>
          <w:szCs w:val="24"/>
        </w:rPr>
        <w:t xml:space="preserve">aúde </w:t>
      </w:r>
      <w:r w:rsidR="00632281" w:rsidRPr="00E41A0E">
        <w:rPr>
          <w:rFonts w:ascii="Arial" w:eastAsia="Times New Roman" w:hAnsi="Arial" w:cs="Arial"/>
          <w:b/>
          <w:sz w:val="24"/>
          <w:szCs w:val="24"/>
        </w:rPr>
        <w:t>P</w:t>
      </w:r>
      <w:r w:rsidRPr="00E41A0E">
        <w:rPr>
          <w:rFonts w:ascii="Arial" w:eastAsia="Times New Roman" w:hAnsi="Arial" w:cs="Arial"/>
          <w:b/>
          <w:sz w:val="24"/>
          <w:szCs w:val="24"/>
        </w:rPr>
        <w:t>ública,</w:t>
      </w:r>
      <w:r w:rsidRPr="00E41A0E">
        <w:rPr>
          <w:rFonts w:ascii="Arial" w:eastAsia="Times New Roman" w:hAnsi="Arial" w:cs="Arial"/>
          <w:sz w:val="24"/>
          <w:szCs w:val="24"/>
        </w:rPr>
        <w:t xml:space="preserve"> v. 36, p. 370-374, 2002.</w:t>
      </w:r>
    </w:p>
    <w:p w:rsidR="0064050B" w:rsidRPr="00E41A0E" w:rsidRDefault="0064050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QUINELATO, R</w:t>
      </w:r>
      <w:r w:rsidR="009A2015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V</w:t>
      </w:r>
      <w:r w:rsidR="009A2015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</w:t>
      </w:r>
      <w:r w:rsidRPr="00E41A0E">
        <w:rPr>
          <w:rFonts w:ascii="Arial" w:eastAsia="Times New Roman" w:hAnsi="Arial" w:cs="Arial"/>
          <w:i/>
          <w:sz w:val="24"/>
          <w:szCs w:val="24"/>
        </w:rPr>
        <w:t>et al</w:t>
      </w:r>
      <w:r w:rsidRPr="00E41A0E">
        <w:rPr>
          <w:rFonts w:ascii="Arial" w:eastAsia="Times New Roman" w:hAnsi="Arial" w:cs="Arial"/>
          <w:sz w:val="24"/>
          <w:szCs w:val="24"/>
        </w:rPr>
        <w:t xml:space="preserve">. Análise espaço temporal da qualidade da água dos rios Peruípe, Itanhém e Jucuruçu, Bahia. </w:t>
      </w:r>
      <w:r w:rsidRPr="00E41A0E">
        <w:rPr>
          <w:rFonts w:ascii="Arial" w:eastAsia="Times New Roman" w:hAnsi="Arial" w:cs="Arial"/>
          <w:b/>
          <w:sz w:val="24"/>
          <w:szCs w:val="24"/>
        </w:rPr>
        <w:t>Scientia Plena,</w:t>
      </w:r>
      <w:r w:rsidRPr="00E41A0E">
        <w:rPr>
          <w:rFonts w:ascii="Arial" w:eastAsia="Times New Roman" w:hAnsi="Arial" w:cs="Arial"/>
          <w:sz w:val="24"/>
          <w:szCs w:val="24"/>
        </w:rPr>
        <w:t xml:space="preserve"> v. 16, n. 7, 2020. </w:t>
      </w:r>
    </w:p>
    <w:p w:rsidR="0064050B" w:rsidRPr="00E41A0E" w:rsidRDefault="0064050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SANTOS, R</w:t>
      </w:r>
      <w:r w:rsidR="009A2015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S. Saúde e qualidade da água: análises microbiológicas e físicoquímicas em água subterrâneas. </w:t>
      </w:r>
      <w:r w:rsidRPr="00E41A0E">
        <w:rPr>
          <w:rFonts w:ascii="Arial" w:eastAsia="Times New Roman" w:hAnsi="Arial" w:cs="Arial"/>
          <w:b/>
          <w:sz w:val="24"/>
          <w:szCs w:val="24"/>
        </w:rPr>
        <w:t>Revista Contexto &amp; Saúde,</w:t>
      </w:r>
      <w:r w:rsidRPr="00E41A0E">
        <w:rPr>
          <w:rFonts w:ascii="Arial" w:eastAsia="Times New Roman" w:hAnsi="Arial" w:cs="Arial"/>
          <w:sz w:val="24"/>
          <w:szCs w:val="24"/>
        </w:rPr>
        <w:t xml:space="preserve"> v. 13, n. 24-25, p. 46-53, 2013.</w:t>
      </w:r>
    </w:p>
    <w:p w:rsidR="0064050B" w:rsidRPr="00E41A0E" w:rsidRDefault="0064050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SILVA, L</w:t>
      </w:r>
      <w:r w:rsidR="009A2015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P</w:t>
      </w:r>
      <w:r w:rsidR="009A2015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da. </w:t>
      </w:r>
      <w:r w:rsidRPr="00E41A0E">
        <w:rPr>
          <w:rFonts w:ascii="Arial" w:eastAsia="Times New Roman" w:hAnsi="Arial" w:cs="Arial"/>
          <w:b/>
          <w:sz w:val="24"/>
          <w:szCs w:val="24"/>
        </w:rPr>
        <w:t>Hid</w:t>
      </w:r>
      <w:r w:rsidR="009A2015" w:rsidRPr="00E41A0E">
        <w:rPr>
          <w:rFonts w:ascii="Arial" w:eastAsia="Times New Roman" w:hAnsi="Arial" w:cs="Arial"/>
          <w:b/>
          <w:sz w:val="24"/>
          <w:szCs w:val="24"/>
        </w:rPr>
        <w:t>rologia</w:t>
      </w:r>
      <w:r w:rsidRPr="00E41A0E">
        <w:rPr>
          <w:rFonts w:ascii="Arial" w:eastAsia="Times New Roman" w:hAnsi="Arial" w:cs="Arial"/>
          <w:b/>
          <w:sz w:val="24"/>
          <w:szCs w:val="24"/>
        </w:rPr>
        <w:t>:</w:t>
      </w:r>
      <w:r w:rsidRPr="00E41A0E">
        <w:rPr>
          <w:rFonts w:ascii="Arial" w:eastAsia="Times New Roman" w:hAnsi="Arial" w:cs="Arial"/>
          <w:sz w:val="24"/>
          <w:szCs w:val="24"/>
        </w:rPr>
        <w:t xml:space="preserve"> engenharia e meio ambiente. Rio de Janeiro</w:t>
      </w:r>
      <w:r w:rsidR="009A2015" w:rsidRPr="00E41A0E">
        <w:rPr>
          <w:rFonts w:ascii="Arial" w:eastAsia="Times New Roman" w:hAnsi="Arial" w:cs="Arial"/>
          <w:sz w:val="24"/>
          <w:szCs w:val="24"/>
        </w:rPr>
        <w:t>:</w:t>
      </w:r>
      <w:r w:rsidRPr="00E41A0E">
        <w:rPr>
          <w:rFonts w:ascii="Arial" w:eastAsia="Times New Roman" w:hAnsi="Arial" w:cs="Arial"/>
          <w:sz w:val="24"/>
          <w:szCs w:val="24"/>
        </w:rPr>
        <w:t xml:space="preserve"> GEN LTC</w:t>
      </w:r>
      <w:r w:rsidR="009A2015" w:rsidRPr="00E41A0E">
        <w:rPr>
          <w:rFonts w:ascii="Arial" w:eastAsia="Times New Roman" w:hAnsi="Arial" w:cs="Arial"/>
          <w:sz w:val="24"/>
          <w:szCs w:val="24"/>
        </w:rPr>
        <w:t>,</w:t>
      </w:r>
      <w:r w:rsidRPr="00E41A0E">
        <w:rPr>
          <w:rFonts w:ascii="Arial" w:eastAsia="Times New Roman" w:hAnsi="Arial" w:cs="Arial"/>
          <w:sz w:val="24"/>
          <w:szCs w:val="24"/>
        </w:rPr>
        <w:t xml:space="preserve"> 2015.</w:t>
      </w:r>
    </w:p>
    <w:p w:rsidR="0064050B" w:rsidRPr="00E41A0E" w:rsidRDefault="0064050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>SILVA, R</w:t>
      </w:r>
      <w:r w:rsidR="009A2015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de C</w:t>
      </w:r>
      <w:r w:rsidR="009A2015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A</w:t>
      </w:r>
      <w:r w:rsidR="009A2015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da; ARAÚJO, T</w:t>
      </w:r>
      <w:r w:rsidR="009A2015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M</w:t>
      </w:r>
      <w:r w:rsidR="00C9690B" w:rsidRPr="00E41A0E">
        <w:rPr>
          <w:rFonts w:ascii="Arial" w:eastAsia="Times New Roman" w:hAnsi="Arial" w:cs="Arial"/>
          <w:sz w:val="24"/>
          <w:szCs w:val="24"/>
        </w:rPr>
        <w:t>.</w:t>
      </w:r>
      <w:r w:rsidRPr="00E41A0E">
        <w:rPr>
          <w:rFonts w:ascii="Arial" w:eastAsia="Times New Roman" w:hAnsi="Arial" w:cs="Arial"/>
          <w:sz w:val="24"/>
          <w:szCs w:val="24"/>
        </w:rPr>
        <w:t xml:space="preserve"> de. Qualidade da água do manancial subterrâneo em áreas urbanas de Feira de Santana (BA). </w:t>
      </w:r>
      <w:r w:rsidRPr="00E41A0E">
        <w:rPr>
          <w:rFonts w:ascii="Arial" w:eastAsia="Times New Roman" w:hAnsi="Arial" w:cs="Arial"/>
          <w:b/>
          <w:sz w:val="24"/>
          <w:szCs w:val="24"/>
        </w:rPr>
        <w:t>Ciência &amp; Saúde Coletiva,</w:t>
      </w:r>
      <w:r w:rsidRPr="00E41A0E">
        <w:rPr>
          <w:rFonts w:ascii="Arial" w:eastAsia="Times New Roman" w:hAnsi="Arial" w:cs="Arial"/>
          <w:sz w:val="24"/>
          <w:szCs w:val="24"/>
        </w:rPr>
        <w:t xml:space="preserve"> v. 8, p. 1019-1028, 2003.</w:t>
      </w:r>
    </w:p>
    <w:p w:rsidR="0064050B" w:rsidRPr="00E41A0E" w:rsidRDefault="0064050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 xml:space="preserve">SIQUEIRA, Gilmar W.; APRILE, Fabio; MIGUÉIS, Antonio Miguel. Diagnóstico da qualidade da água do rio Parauapebas (Pará-Brasil). </w:t>
      </w:r>
      <w:r w:rsidRPr="00E41A0E">
        <w:rPr>
          <w:rFonts w:ascii="Arial" w:eastAsia="Times New Roman" w:hAnsi="Arial" w:cs="Arial"/>
          <w:b/>
          <w:sz w:val="24"/>
          <w:szCs w:val="24"/>
        </w:rPr>
        <w:t>Acta Amazonica,</w:t>
      </w:r>
      <w:r w:rsidRPr="00E41A0E">
        <w:rPr>
          <w:rFonts w:ascii="Arial" w:eastAsia="Times New Roman" w:hAnsi="Arial" w:cs="Arial"/>
          <w:sz w:val="24"/>
          <w:szCs w:val="24"/>
        </w:rPr>
        <w:t xml:space="preserve"> v. 42, n. 3, p. 413-422, 2012.</w:t>
      </w:r>
    </w:p>
    <w:p w:rsidR="0064050B" w:rsidRPr="00E41A0E" w:rsidRDefault="0064050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41A0E">
        <w:rPr>
          <w:rFonts w:ascii="Arial" w:eastAsia="Times New Roman" w:hAnsi="Arial" w:cs="Arial"/>
          <w:sz w:val="24"/>
          <w:szCs w:val="24"/>
        </w:rPr>
        <w:t xml:space="preserve">TOLEDO, </w:t>
      </w:r>
      <w:r w:rsidR="00C9690B" w:rsidRPr="00E41A0E">
        <w:rPr>
          <w:rFonts w:ascii="Arial" w:eastAsia="Times New Roman" w:hAnsi="Arial" w:cs="Arial"/>
          <w:sz w:val="24"/>
          <w:szCs w:val="24"/>
        </w:rPr>
        <w:t>L.</w:t>
      </w:r>
      <w:r w:rsidRPr="00E41A0E">
        <w:rPr>
          <w:rFonts w:ascii="Arial" w:eastAsia="Times New Roman" w:hAnsi="Arial" w:cs="Arial"/>
          <w:sz w:val="24"/>
          <w:szCs w:val="24"/>
        </w:rPr>
        <w:t xml:space="preserve"> </w:t>
      </w:r>
      <w:r w:rsidR="00C9690B" w:rsidRPr="00E41A0E">
        <w:rPr>
          <w:rFonts w:ascii="Arial" w:eastAsia="Times New Roman" w:hAnsi="Arial" w:cs="Arial"/>
          <w:sz w:val="24"/>
          <w:szCs w:val="24"/>
        </w:rPr>
        <w:t>Q.</w:t>
      </w:r>
      <w:r w:rsidRPr="00E41A0E">
        <w:rPr>
          <w:rFonts w:ascii="Arial" w:eastAsia="Times New Roman" w:hAnsi="Arial" w:cs="Arial"/>
          <w:sz w:val="24"/>
          <w:szCs w:val="24"/>
        </w:rPr>
        <w:t xml:space="preserve"> </w:t>
      </w:r>
      <w:r w:rsidR="00C9690B" w:rsidRPr="00E41A0E">
        <w:rPr>
          <w:rFonts w:ascii="Arial" w:eastAsia="Times New Roman" w:hAnsi="Arial" w:cs="Arial"/>
          <w:sz w:val="24"/>
          <w:szCs w:val="24"/>
        </w:rPr>
        <w:t>L.</w:t>
      </w:r>
      <w:r w:rsidRPr="00E41A0E">
        <w:rPr>
          <w:rFonts w:ascii="Arial" w:eastAsia="Times New Roman" w:hAnsi="Arial" w:cs="Arial"/>
          <w:sz w:val="24"/>
          <w:szCs w:val="24"/>
        </w:rPr>
        <w:t xml:space="preserve"> Análise preliminar da qualidade e quantidade da água do ribeirão das rosas em Juiz de Fora-MG. 2019. Trabalho de Conclusão de Curso (Bacharelado em Engenharia Sanitária e Ambiental) – Universidade Federal de Juiz de Fora, Juiz de Fora, 2019.</w:t>
      </w:r>
      <w:r w:rsidR="005E6B72" w:rsidRPr="00E41A0E">
        <w:rPr>
          <w:rFonts w:ascii="Arial" w:eastAsia="Times New Roman" w:hAnsi="Arial" w:cs="Arial"/>
          <w:sz w:val="24"/>
          <w:szCs w:val="24"/>
        </w:rPr>
        <w:t xml:space="preserve"> Disponível em: https://www2.ufjf.br/engsanitariaeambiental//files/2014/02/Lucas-final.pdf. Acesso em: 10 out. 2021.</w:t>
      </w:r>
    </w:p>
    <w:p w:rsidR="00203F01" w:rsidRDefault="00203F01" w:rsidP="00203F01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4050B" w:rsidRPr="00203F01" w:rsidRDefault="00203F01" w:rsidP="00203F01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</w:t>
      </w:r>
      <w:r w:rsidRPr="00E90ECA">
        <w:rPr>
          <w:rFonts w:ascii="Arial" w:eastAsia="Times New Roman" w:hAnsi="Arial" w:cs="Arial"/>
          <w:sz w:val="20"/>
          <w:szCs w:val="20"/>
        </w:rPr>
        <w:t>Análise Da Água Do Rio Itajaí</w:t>
      </w:r>
      <w:r>
        <w:rPr>
          <w:rFonts w:ascii="Arial" w:eastAsia="Times New Roman" w:hAnsi="Arial" w:cs="Arial"/>
          <w:sz w:val="20"/>
          <w:szCs w:val="20"/>
        </w:rPr>
        <w:t xml:space="preserve"> Mirim: Um Relato De Experiência</w:t>
      </w:r>
    </w:p>
    <w:p w:rsidR="00203F01" w:rsidRDefault="00203F0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4050B" w:rsidRPr="00E41A0E" w:rsidRDefault="00E90ECA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E41A0E">
        <w:rPr>
          <w:rFonts w:ascii="Arial" w:eastAsia="Times New Roman" w:hAnsi="Arial" w:cs="Arial"/>
          <w:sz w:val="24"/>
          <w:szCs w:val="24"/>
        </w:rPr>
        <w:t xml:space="preserve">VIANNA, M. R. </w:t>
      </w:r>
      <w:r w:rsidRPr="00E41A0E">
        <w:rPr>
          <w:rFonts w:ascii="Arial" w:eastAsia="Times New Roman" w:hAnsi="Arial" w:cs="Arial"/>
          <w:b/>
          <w:sz w:val="24"/>
          <w:szCs w:val="24"/>
        </w:rPr>
        <w:t>Hidráulica aplicada às estações de tratamento de água.</w:t>
      </w:r>
      <w:r w:rsidRPr="00E41A0E">
        <w:rPr>
          <w:rFonts w:ascii="Arial" w:eastAsia="Times New Roman" w:hAnsi="Arial" w:cs="Arial"/>
          <w:sz w:val="24"/>
          <w:szCs w:val="24"/>
        </w:rPr>
        <w:t xml:space="preserve"> Belo Horizonte: Instituto de Engenharia Aplicada, 1992.</w:t>
      </w:r>
    </w:p>
    <w:sectPr w:rsidR="0064050B" w:rsidRPr="00E41A0E" w:rsidSect="002B6A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567" w:footer="709" w:gutter="0"/>
      <w:pgNumType w:start="7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FD7" w:rsidRDefault="00E90ECA">
      <w:pPr>
        <w:spacing w:after="0" w:line="240" w:lineRule="auto"/>
      </w:pPr>
      <w:r>
        <w:separator/>
      </w:r>
    </w:p>
  </w:endnote>
  <w:endnote w:type="continuationSeparator" w:id="0">
    <w:p w:rsidR="00D80FD7" w:rsidRDefault="00E9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A27" w:rsidRDefault="002B6A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1964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2B6A27" w:rsidRDefault="002B6A2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75</w:t>
        </w:r>
        <w:r>
          <w:fldChar w:fldCharType="end"/>
        </w:r>
      </w:p>
    </w:sdtContent>
  </w:sdt>
  <w:p w:rsidR="002B6A27" w:rsidRDefault="002B6A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311515"/>
      <w:docPartObj>
        <w:docPartGallery w:val="Page Numbers (Bottom of Page)"/>
        <w:docPartUnique/>
      </w:docPartObj>
    </w:sdtPr>
    <w:sdtContent>
      <w:p w:rsidR="002B6A27" w:rsidRDefault="002B6A2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74</w:t>
        </w:r>
        <w:r>
          <w:fldChar w:fldCharType="end"/>
        </w:r>
      </w:p>
    </w:sdtContent>
  </w:sdt>
  <w:p w:rsidR="0064050B" w:rsidRDefault="00640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FD7" w:rsidRDefault="00E90ECA">
      <w:pPr>
        <w:spacing w:after="0" w:line="240" w:lineRule="auto"/>
      </w:pPr>
      <w:r>
        <w:separator/>
      </w:r>
    </w:p>
  </w:footnote>
  <w:footnote w:type="continuationSeparator" w:id="0">
    <w:p w:rsidR="00D80FD7" w:rsidRDefault="00E9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A27" w:rsidRDefault="002B6A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CA" w:rsidRDefault="00A9312B" w:rsidP="00203F01">
    <w:pPr>
      <w:spacing w:line="360" w:lineRule="auto"/>
      <w:jc w:val="center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-360046</wp:posOffset>
          </wp:positionV>
          <wp:extent cx="7553325" cy="10677525"/>
          <wp:effectExtent l="0" t="0" r="9525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 FOL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050B" w:rsidRDefault="0064050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50B" w:rsidRDefault="00A931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36"/>
        <w:szCs w:val="36"/>
      </w:rPr>
    </w:pPr>
    <w:r>
      <w:rPr>
        <w:rFonts w:ascii="Times New Roman" w:eastAsia="Times New Roman" w:hAnsi="Times New Roman" w:cs="Times New Roman"/>
        <w:noProof/>
        <w:color w:val="000000"/>
        <w:sz w:val="36"/>
        <w:szCs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553325" cy="10668000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 FOL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0B"/>
    <w:rsid w:val="00124D19"/>
    <w:rsid w:val="00185637"/>
    <w:rsid w:val="00203F01"/>
    <w:rsid w:val="00203F25"/>
    <w:rsid w:val="002251D4"/>
    <w:rsid w:val="0029622F"/>
    <w:rsid w:val="002B6A27"/>
    <w:rsid w:val="002E68AF"/>
    <w:rsid w:val="0032676E"/>
    <w:rsid w:val="00344318"/>
    <w:rsid w:val="00362FCD"/>
    <w:rsid w:val="0039456B"/>
    <w:rsid w:val="003E69BF"/>
    <w:rsid w:val="00473634"/>
    <w:rsid w:val="00502A2C"/>
    <w:rsid w:val="005D0F44"/>
    <w:rsid w:val="005E6B72"/>
    <w:rsid w:val="0060058D"/>
    <w:rsid w:val="00632281"/>
    <w:rsid w:val="0064050B"/>
    <w:rsid w:val="006549A6"/>
    <w:rsid w:val="007C4911"/>
    <w:rsid w:val="00892CE4"/>
    <w:rsid w:val="00933736"/>
    <w:rsid w:val="00961989"/>
    <w:rsid w:val="00985532"/>
    <w:rsid w:val="00995FF2"/>
    <w:rsid w:val="009A2015"/>
    <w:rsid w:val="00A2281C"/>
    <w:rsid w:val="00A22E61"/>
    <w:rsid w:val="00A9312B"/>
    <w:rsid w:val="00AB552C"/>
    <w:rsid w:val="00B6006A"/>
    <w:rsid w:val="00BC6765"/>
    <w:rsid w:val="00BF29EB"/>
    <w:rsid w:val="00C9690B"/>
    <w:rsid w:val="00CC200D"/>
    <w:rsid w:val="00D80FD7"/>
    <w:rsid w:val="00D8222D"/>
    <w:rsid w:val="00DC5C81"/>
    <w:rsid w:val="00E41A0E"/>
    <w:rsid w:val="00E90ECA"/>
    <w:rsid w:val="00ED547A"/>
    <w:rsid w:val="00F15BF6"/>
    <w:rsid w:val="00F268DE"/>
    <w:rsid w:val="00FC5CB8"/>
    <w:rsid w:val="00F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91B78D4-0564-464A-BD18-B63E2909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741"/>
  </w:style>
  <w:style w:type="paragraph" w:styleId="Ttulo1">
    <w:name w:val="heading 1"/>
    <w:basedOn w:val="Normal"/>
    <w:next w:val="Normal"/>
    <w:link w:val="Ttulo1Char"/>
    <w:autoRedefine/>
    <w:uiPriority w:val="9"/>
    <w:rsid w:val="008529AB"/>
    <w:pPr>
      <w:keepNext/>
      <w:keepLines/>
      <w:widowControl w:val="0"/>
      <w:spacing w:after="0" w:line="360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7F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16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32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814B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1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</w:rPr>
  </w:style>
  <w:style w:type="table" w:styleId="Tabelacomgrade">
    <w:name w:val="Table Grid"/>
    <w:basedOn w:val="Tabelanormal"/>
    <w:uiPriority w:val="39"/>
    <w:rsid w:val="00D16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1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1A65"/>
  </w:style>
  <w:style w:type="paragraph" w:styleId="Rodap">
    <w:name w:val="footer"/>
    <w:basedOn w:val="Normal"/>
    <w:link w:val="RodapChar"/>
    <w:uiPriority w:val="99"/>
    <w:unhideWhenUsed/>
    <w:rsid w:val="006C1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A65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A75C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A75C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A75CE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6F61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8529AB"/>
    <w:rPr>
      <w:rFonts w:ascii="Arial" w:eastAsiaTheme="majorEastAsia" w:hAnsi="Arial" w:cstheme="majorBidi"/>
      <w:b/>
      <w:sz w:val="24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16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B70C1"/>
    <w:rPr>
      <w:color w:val="808080"/>
      <w:shd w:val="clear" w:color="auto" w:fill="E6E6E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7F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326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66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F01A8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0606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06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060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06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0604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41CCD"/>
    <w:pPr>
      <w:ind w:left="720"/>
      <w:contextualSpacing/>
    </w:pPr>
  </w:style>
  <w:style w:type="paragraph" w:customStyle="1" w:styleId="Corpo">
    <w:name w:val="Corpo"/>
    <w:rsid w:val="00E82B68"/>
    <w:pPr>
      <w:spacing w:after="0" w:line="240" w:lineRule="auto"/>
      <w:ind w:left="709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ky79BLD+NsY8yGxgzxzLyaHIrg==">AMUW2mWBUkw+V93TDSSOcoX61BAuvJkXysYw8rBzNZfPxhF3us9JmtDxG6K7uqz1TZcwfxY53Mm1e6OlyNbZKn4JY4yBh8Cl22aChoDM0+ZiFPaofhwCYsc=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3048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Ristow</dc:creator>
  <cp:lastModifiedBy>Jamaica Sousa</cp:lastModifiedBy>
  <cp:revision>4</cp:revision>
  <dcterms:created xsi:type="dcterms:W3CDTF">2023-01-25T13:47:00Z</dcterms:created>
  <dcterms:modified xsi:type="dcterms:W3CDTF">2023-02-14T14:11:00Z</dcterms:modified>
</cp:coreProperties>
</file>